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0379A" w14:textId="77777777" w:rsidR="00207CBB" w:rsidRDefault="00207CBB">
      <w:pPr>
        <w:pStyle w:val="BodyText"/>
        <w:rPr>
          <w:b/>
          <w:sz w:val="20"/>
        </w:rPr>
      </w:pPr>
    </w:p>
    <w:p w14:paraId="3BE203E9" w14:textId="77777777" w:rsidR="00207CBB" w:rsidRDefault="007729F9">
      <w:pPr>
        <w:pStyle w:val="BodyText"/>
        <w:spacing w:before="5"/>
        <w:rPr>
          <w:b/>
          <w:sz w:val="23"/>
        </w:rPr>
      </w:pPr>
      <w:r>
        <w:rPr>
          <w:noProof/>
          <w:lang w:bidi="ar-SA"/>
        </w:rPr>
        <w:drawing>
          <wp:anchor distT="0" distB="0" distL="0" distR="0" simplePos="0" relativeHeight="251658240" behindDoc="0" locked="0" layoutInCell="1" allowOverlap="1" wp14:anchorId="7E18DBD6" wp14:editId="1AB69855">
            <wp:simplePos x="0" y="0"/>
            <wp:positionH relativeFrom="page">
              <wp:posOffset>1107440</wp:posOffset>
            </wp:positionH>
            <wp:positionV relativeFrom="paragraph">
              <wp:posOffset>187960</wp:posOffset>
            </wp:positionV>
            <wp:extent cx="5648109" cy="91363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648109" cy="913638"/>
                    </a:xfrm>
                    <a:prstGeom prst="rect">
                      <a:avLst/>
                    </a:prstGeom>
                  </pic:spPr>
                </pic:pic>
              </a:graphicData>
            </a:graphic>
          </wp:anchor>
        </w:drawing>
      </w:r>
    </w:p>
    <w:p w14:paraId="68BCC9F3" w14:textId="77777777" w:rsidR="00207CBB" w:rsidRDefault="00207CBB">
      <w:pPr>
        <w:pStyle w:val="BodyText"/>
        <w:rPr>
          <w:b/>
          <w:sz w:val="36"/>
        </w:rPr>
      </w:pPr>
    </w:p>
    <w:p w14:paraId="2D9C53FB" w14:textId="77777777" w:rsidR="00207CBB" w:rsidRDefault="007729F9">
      <w:pPr>
        <w:pStyle w:val="BodyText"/>
        <w:jc w:val="center"/>
        <w:rPr>
          <w:b/>
          <w:sz w:val="40"/>
        </w:rPr>
      </w:pPr>
      <w:r>
        <w:rPr>
          <w:b/>
          <w:sz w:val="40"/>
        </w:rPr>
        <w:t>Bedel Financial Consulting, Inc.</w:t>
      </w:r>
    </w:p>
    <w:p w14:paraId="614EA2D1" w14:textId="77777777" w:rsidR="00207CBB" w:rsidRDefault="007729F9">
      <w:pPr>
        <w:spacing w:before="150"/>
        <w:ind w:left="2069" w:right="2181"/>
        <w:jc w:val="center"/>
        <w:rPr>
          <w:b/>
          <w:sz w:val="36"/>
        </w:rPr>
      </w:pPr>
      <w:r>
        <w:rPr>
          <w:b/>
          <w:sz w:val="36"/>
        </w:rPr>
        <w:t>8940 River Crossing Blvd., Suite 120</w:t>
      </w:r>
    </w:p>
    <w:p w14:paraId="20C91594" w14:textId="77777777" w:rsidR="00207CBB" w:rsidRDefault="007729F9">
      <w:pPr>
        <w:spacing w:before="29"/>
        <w:ind w:left="2070" w:right="2179"/>
        <w:jc w:val="center"/>
        <w:rPr>
          <w:b/>
          <w:sz w:val="36"/>
        </w:rPr>
      </w:pPr>
      <w:r>
        <w:rPr>
          <w:b/>
          <w:spacing w:val="-3"/>
          <w:sz w:val="36"/>
        </w:rPr>
        <w:t xml:space="preserve">Indianapolis, </w:t>
      </w:r>
      <w:r>
        <w:rPr>
          <w:b/>
          <w:sz w:val="36"/>
        </w:rPr>
        <w:t>IN</w:t>
      </w:r>
      <w:r>
        <w:rPr>
          <w:b/>
          <w:spacing w:val="68"/>
          <w:sz w:val="36"/>
        </w:rPr>
        <w:t xml:space="preserve"> </w:t>
      </w:r>
      <w:r>
        <w:rPr>
          <w:b/>
          <w:spacing w:val="-3"/>
          <w:sz w:val="36"/>
        </w:rPr>
        <w:t>46240</w:t>
      </w:r>
    </w:p>
    <w:p w14:paraId="5D4D8696" w14:textId="77777777" w:rsidR="00207CBB" w:rsidRDefault="007729F9">
      <w:pPr>
        <w:spacing w:before="29"/>
        <w:ind w:left="2070" w:right="2181"/>
        <w:jc w:val="center"/>
        <w:rPr>
          <w:b/>
          <w:sz w:val="36"/>
        </w:rPr>
      </w:pPr>
      <w:r>
        <w:rPr>
          <w:b/>
          <w:sz w:val="36"/>
        </w:rPr>
        <w:t>Telephone: 317-843-1358</w:t>
      </w:r>
    </w:p>
    <w:p w14:paraId="02310EB3" w14:textId="77777777" w:rsidR="00207CBB" w:rsidRDefault="007729F9">
      <w:pPr>
        <w:spacing w:before="10"/>
        <w:ind w:left="2066" w:right="2181"/>
        <w:jc w:val="center"/>
        <w:rPr>
          <w:b/>
          <w:sz w:val="36"/>
        </w:rPr>
      </w:pPr>
      <w:r>
        <w:rPr>
          <w:b/>
          <w:sz w:val="36"/>
        </w:rPr>
        <w:t>Toll Free: 888-843-1358</w:t>
      </w:r>
    </w:p>
    <w:p w14:paraId="2F0D9337" w14:textId="77777777" w:rsidR="00207CBB" w:rsidRDefault="00207CBB">
      <w:pPr>
        <w:pStyle w:val="BodyText"/>
        <w:spacing w:before="1"/>
        <w:jc w:val="center"/>
        <w:rPr>
          <w:b/>
          <w:sz w:val="36"/>
        </w:rPr>
      </w:pPr>
    </w:p>
    <w:p w14:paraId="36D56293" w14:textId="77777777" w:rsidR="00207CBB" w:rsidRDefault="007729F9">
      <w:pPr>
        <w:ind w:left="2068" w:right="2181"/>
        <w:jc w:val="center"/>
        <w:rPr>
          <w:b/>
          <w:sz w:val="36"/>
        </w:rPr>
      </w:pPr>
      <w:hyperlink r:id="rId9">
        <w:r>
          <w:rPr>
            <w:b/>
            <w:sz w:val="36"/>
          </w:rPr>
          <w:t>www.bedelfinancial.com</w:t>
        </w:r>
      </w:hyperlink>
    </w:p>
    <w:p w14:paraId="333377B9" w14:textId="77777777" w:rsidR="00207CBB" w:rsidRDefault="00207CBB">
      <w:pPr>
        <w:pStyle w:val="BodyText"/>
        <w:rPr>
          <w:b/>
          <w:sz w:val="36"/>
        </w:rPr>
      </w:pPr>
    </w:p>
    <w:p w14:paraId="5884B146" w14:textId="77777777" w:rsidR="00207CBB" w:rsidRDefault="00207CBB">
      <w:pPr>
        <w:pStyle w:val="BodyText"/>
        <w:rPr>
          <w:b/>
          <w:sz w:val="36"/>
        </w:rPr>
      </w:pPr>
    </w:p>
    <w:p w14:paraId="7591A5B0" w14:textId="77777777" w:rsidR="00207CBB" w:rsidRDefault="007729F9">
      <w:pPr>
        <w:pStyle w:val="BodyText"/>
        <w:jc w:val="center"/>
        <w:rPr>
          <w:b/>
          <w:sz w:val="42"/>
        </w:rPr>
      </w:pPr>
      <w:r>
        <w:rPr>
          <w:b/>
          <w:sz w:val="42"/>
        </w:rPr>
        <w:t>Form ADV Part 2A – Disclosure Brochure</w:t>
      </w:r>
    </w:p>
    <w:p w14:paraId="6F8E5A47" w14:textId="3B76F870" w:rsidR="00207CBB" w:rsidRDefault="007729F9">
      <w:pPr>
        <w:ind w:left="2070" w:right="2181"/>
        <w:jc w:val="center"/>
        <w:rPr>
          <w:b/>
          <w:sz w:val="36"/>
        </w:rPr>
      </w:pPr>
      <w:r>
        <w:rPr>
          <w:b/>
          <w:sz w:val="36"/>
        </w:rPr>
        <w:t xml:space="preserve">Effective: </w:t>
      </w:r>
      <w:proofErr w:type="gramStart"/>
      <w:r w:rsidR="00326EEE">
        <w:rPr>
          <w:b/>
          <w:sz w:val="36"/>
        </w:rPr>
        <w:t>June,</w:t>
      </w:r>
      <w:proofErr w:type="gramEnd"/>
      <w:r w:rsidR="00326EEE">
        <w:rPr>
          <w:b/>
          <w:sz w:val="36"/>
        </w:rPr>
        <w:t xml:space="preserve"> 2025</w:t>
      </w:r>
    </w:p>
    <w:p w14:paraId="432A540C" w14:textId="77777777" w:rsidR="00207CBB" w:rsidRDefault="00207CBB">
      <w:pPr>
        <w:pStyle w:val="BodyText"/>
        <w:rPr>
          <w:b/>
          <w:sz w:val="36"/>
        </w:rPr>
      </w:pPr>
    </w:p>
    <w:p w14:paraId="49E72CBF" w14:textId="77777777" w:rsidR="00207CBB" w:rsidRDefault="00207CBB">
      <w:pPr>
        <w:pStyle w:val="BodyText"/>
        <w:rPr>
          <w:b/>
          <w:sz w:val="36"/>
        </w:rPr>
      </w:pPr>
    </w:p>
    <w:p w14:paraId="44AC73CD" w14:textId="77777777" w:rsidR="00207CBB" w:rsidRDefault="00207CBB">
      <w:pPr>
        <w:pStyle w:val="BodyText"/>
      </w:pPr>
    </w:p>
    <w:p w14:paraId="26E36634" w14:textId="77777777" w:rsidR="00207CBB" w:rsidRDefault="00207CBB">
      <w:pPr>
        <w:pStyle w:val="BodyText"/>
      </w:pPr>
    </w:p>
    <w:p w14:paraId="7CD48D7D" w14:textId="77777777" w:rsidR="00207CBB" w:rsidRDefault="007729F9">
      <w:pPr>
        <w:pStyle w:val="BodyText"/>
      </w:pPr>
      <w:r>
        <w:t>This Form ADV 2A (“Disclosure Brochure”) provides information about the qualifications and business practices of Bedel Financial Consulting, Inc. (“BFC” or the “Advisor”). If you have any questions about the contents of this Disclosure Brochure, please contact Lonny Elfenbein, Chief Compliance Officer at 513-977-8330</w:t>
      </w:r>
    </w:p>
    <w:p w14:paraId="0144E1E2" w14:textId="77777777" w:rsidR="00207CBB" w:rsidRDefault="00207CBB">
      <w:pPr>
        <w:pStyle w:val="BodyText"/>
      </w:pPr>
    </w:p>
    <w:p w14:paraId="4A9A5D1D" w14:textId="77777777" w:rsidR="00207CBB" w:rsidRDefault="007729F9">
      <w:pPr>
        <w:pStyle w:val="BodyText"/>
      </w:pPr>
      <w:r>
        <w:t xml:space="preserve">BFC is a registered investment advisor with the U.S. Securities and Exchange Commission (“SEC”). The information in this Disclosure Brochure has not been approved or verified by the SEC or by any state securities authority. Registration of an investment advisor does not imply any specific level of skill or training. </w:t>
      </w:r>
    </w:p>
    <w:p w14:paraId="1EF2FC5A" w14:textId="77777777" w:rsidR="00207CBB" w:rsidRDefault="00207CBB">
      <w:pPr>
        <w:pStyle w:val="BodyText"/>
      </w:pPr>
    </w:p>
    <w:p w14:paraId="6AC7CD54" w14:textId="77777777" w:rsidR="00207CBB" w:rsidRDefault="007729F9">
      <w:pPr>
        <w:pStyle w:val="BodyText"/>
      </w:pPr>
      <w:r>
        <w:t xml:space="preserve">Additional information about BFC and its Advisory Persons is available on the SEC’s website at </w:t>
      </w:r>
      <w:hyperlink r:id="rId10">
        <w:r>
          <w:rPr>
            <w:rStyle w:val="Hyperlink"/>
          </w:rPr>
          <w:t>www.adviserinfo.sec.gov</w:t>
        </w:r>
      </w:hyperlink>
      <w:r>
        <w:t xml:space="preserve"> by searching with the Advisor’s firm name or with CRD# 105653.</w:t>
      </w:r>
    </w:p>
    <w:p w14:paraId="0E1CF80B" w14:textId="77777777" w:rsidR="00207CBB" w:rsidRDefault="00207CBB">
      <w:pPr>
        <w:pStyle w:val="BodyText"/>
        <w:spacing w:before="3"/>
        <w:rPr>
          <w:b/>
          <w:sz w:val="44"/>
        </w:rPr>
      </w:pPr>
    </w:p>
    <w:p w14:paraId="08648076" w14:textId="77777777" w:rsidR="00207CBB" w:rsidRDefault="00207CBB">
      <w:pPr>
        <w:pStyle w:val="BodyText"/>
        <w:jc w:val="both"/>
        <w:rPr>
          <w:b/>
        </w:rPr>
      </w:pPr>
    </w:p>
    <w:p w14:paraId="12A0E6C4" w14:textId="77777777" w:rsidR="00207CBB" w:rsidRDefault="00207CBB">
      <w:pPr>
        <w:pStyle w:val="BodyText"/>
        <w:jc w:val="both"/>
        <w:rPr>
          <w:rFonts w:eastAsia="Calibri" w:cs="Calibri"/>
          <w:bCs/>
          <w:sz w:val="28"/>
          <w:szCs w:val="44"/>
          <w:u w:val="single"/>
        </w:rPr>
      </w:pPr>
    </w:p>
    <w:p w14:paraId="41C1B403" w14:textId="77777777" w:rsidR="00207CBB" w:rsidRDefault="00207CBB">
      <w:pPr>
        <w:pStyle w:val="BodyText"/>
        <w:jc w:val="both"/>
        <w:rPr>
          <w:b/>
        </w:rPr>
      </w:pPr>
    </w:p>
    <w:p w14:paraId="3F23A384" w14:textId="77777777" w:rsidR="00207CBB" w:rsidRDefault="007729F9">
      <w:pPr>
        <w:pStyle w:val="Heading1"/>
        <w:ind w:left="0" w:firstLine="226"/>
        <w:jc w:val="left"/>
      </w:pPr>
      <w:bookmarkStart w:id="0" w:name="_bookmark1"/>
      <w:bookmarkStart w:id="1" w:name="_Toc201066074"/>
      <w:bookmarkEnd w:id="0"/>
      <w:r>
        <w:t>Item 2: Summary of Material Changes</w:t>
      </w:r>
      <w:bookmarkEnd w:id="1"/>
    </w:p>
    <w:p w14:paraId="5544E348" w14:textId="77777777" w:rsidR="00207CBB" w:rsidRDefault="00207CBB">
      <w:pPr>
        <w:spacing w:before="22"/>
        <w:ind w:left="230"/>
        <w:rPr>
          <w:b/>
          <w:sz w:val="28"/>
          <w:u w:val="single"/>
        </w:rPr>
      </w:pPr>
    </w:p>
    <w:p w14:paraId="4ED02350" w14:textId="77777777" w:rsidR="00207CBB" w:rsidRDefault="007729F9">
      <w:pPr>
        <w:pStyle w:val="BodyText"/>
        <w:ind w:left="226"/>
      </w:pPr>
      <w:r>
        <w:t>This</w:t>
      </w:r>
      <w:r>
        <w:rPr>
          <w:spacing w:val="-6"/>
        </w:rPr>
        <w:t xml:space="preserve"> </w:t>
      </w:r>
      <w:r>
        <w:t>section</w:t>
      </w:r>
      <w:r>
        <w:rPr>
          <w:spacing w:val="-4"/>
        </w:rPr>
        <w:t xml:space="preserve"> </w:t>
      </w:r>
      <w:r>
        <w:t>of</w:t>
      </w:r>
      <w:r>
        <w:rPr>
          <w:spacing w:val="-8"/>
        </w:rPr>
        <w:t xml:space="preserve"> </w:t>
      </w:r>
      <w:r>
        <w:t>the</w:t>
      </w:r>
      <w:r>
        <w:rPr>
          <w:spacing w:val="-5"/>
        </w:rPr>
        <w:t xml:space="preserve"> </w:t>
      </w:r>
      <w:r>
        <w:t>Brochure</w:t>
      </w:r>
      <w:r>
        <w:rPr>
          <w:spacing w:val="-5"/>
        </w:rPr>
        <w:t xml:space="preserve"> </w:t>
      </w:r>
      <w:r>
        <w:t>will</w:t>
      </w:r>
      <w:r>
        <w:rPr>
          <w:spacing w:val="-5"/>
        </w:rPr>
        <w:t xml:space="preserve"> </w:t>
      </w:r>
      <w:r>
        <w:t>address</w:t>
      </w:r>
      <w:r>
        <w:rPr>
          <w:spacing w:val="-6"/>
        </w:rPr>
        <w:t xml:space="preserve"> </w:t>
      </w:r>
      <w:r>
        <w:t>only</w:t>
      </w:r>
      <w:r>
        <w:rPr>
          <w:spacing w:val="-5"/>
        </w:rPr>
        <w:t xml:space="preserve"> </w:t>
      </w:r>
      <w:r>
        <w:t>those</w:t>
      </w:r>
      <w:r>
        <w:rPr>
          <w:spacing w:val="-4"/>
        </w:rPr>
        <w:t xml:space="preserve"> </w:t>
      </w:r>
      <w:r>
        <w:t>“material</w:t>
      </w:r>
      <w:r>
        <w:rPr>
          <w:spacing w:val="-2"/>
        </w:rPr>
        <w:t xml:space="preserve"> </w:t>
      </w:r>
      <w:r>
        <w:t>changes”</w:t>
      </w:r>
      <w:r>
        <w:rPr>
          <w:spacing w:val="-3"/>
        </w:rPr>
        <w:t xml:space="preserve"> </w:t>
      </w:r>
      <w:r>
        <w:t>that</w:t>
      </w:r>
      <w:r>
        <w:rPr>
          <w:spacing w:val="-4"/>
        </w:rPr>
        <w:t xml:space="preserve"> </w:t>
      </w:r>
      <w:r>
        <w:t>have</w:t>
      </w:r>
      <w:r>
        <w:rPr>
          <w:spacing w:val="-5"/>
        </w:rPr>
        <w:t xml:space="preserve"> </w:t>
      </w:r>
      <w:r>
        <w:t>been incorporated since our last delivery or posting of this document on the SEC’s public disclosure website (IAP</w:t>
      </w:r>
      <w:hyperlink r:id="rId11">
        <w:r>
          <w:t>D)</w:t>
        </w:r>
        <w:r>
          <w:rPr>
            <w:spacing w:val="-5"/>
          </w:rPr>
          <w:t xml:space="preserve"> </w:t>
        </w:r>
        <w:r>
          <w:t>www.adviserinfo.sec.gov.</w:t>
        </w:r>
      </w:hyperlink>
    </w:p>
    <w:p w14:paraId="21E78BF5" w14:textId="77777777" w:rsidR="00207CBB" w:rsidRDefault="00207CBB">
      <w:pPr>
        <w:pStyle w:val="BodyText"/>
        <w:rPr>
          <w:sz w:val="23"/>
        </w:rPr>
      </w:pPr>
    </w:p>
    <w:p w14:paraId="4AF0EBF4" w14:textId="4A35753C" w:rsidR="00207CBB" w:rsidRDefault="007729F9">
      <w:pPr>
        <w:pStyle w:val="BodyText"/>
        <w:ind w:left="226"/>
      </w:pPr>
      <w:r>
        <w:t>The following material change has taken place since the March 2</w:t>
      </w:r>
      <w:r w:rsidR="00F713FC">
        <w:t>1</w:t>
      </w:r>
      <w:r>
        <w:t>, 202</w:t>
      </w:r>
      <w:r w:rsidR="00F713FC">
        <w:t>5</w:t>
      </w:r>
      <w:r>
        <w:t xml:space="preserve"> annual filing on the IARD system.</w:t>
      </w:r>
    </w:p>
    <w:p w14:paraId="1798C117" w14:textId="77777777" w:rsidR="00207CBB" w:rsidRDefault="00207CBB">
      <w:pPr>
        <w:pStyle w:val="BodyText"/>
      </w:pPr>
    </w:p>
    <w:p w14:paraId="248139B2" w14:textId="6F6A7B89" w:rsidR="00207CBB" w:rsidRDefault="007729F9" w:rsidP="00BB5892">
      <w:pPr>
        <w:pStyle w:val="BodyText"/>
        <w:ind w:left="226"/>
        <w:rPr>
          <w:sz w:val="23"/>
        </w:rPr>
      </w:pPr>
      <w:r>
        <w:t xml:space="preserve">Item </w:t>
      </w:r>
      <w:r w:rsidR="001916DC">
        <w:t>15</w:t>
      </w:r>
      <w:r>
        <w:t xml:space="preserve">– </w:t>
      </w:r>
      <w:r w:rsidR="001916DC">
        <w:t>Custody</w:t>
      </w:r>
      <w:r>
        <w:t xml:space="preserve"> </w:t>
      </w:r>
      <w:r w:rsidR="001916DC">
        <w:t>has been updated to reflect that Bedel Financial Consulting has custody of client assets due to possession of client login credentials as well as the occasional custody of client checks.</w:t>
      </w:r>
      <w:r w:rsidR="000F39BD">
        <w:t xml:space="preserve">  </w:t>
      </w:r>
      <w:r w:rsidR="00BB5892">
        <w:t>This item</w:t>
      </w:r>
      <w:r w:rsidR="000F39BD">
        <w:t xml:space="preserve"> has also been updated to reflect situations where </w:t>
      </w:r>
      <w:r w:rsidR="00347195">
        <w:t>employees of Bedel are able to act as Trustee</w:t>
      </w:r>
      <w:r w:rsidR="00BB5892">
        <w:t xml:space="preserve"> due to family or other personal relationships.</w:t>
      </w:r>
    </w:p>
    <w:p w14:paraId="0C8F2C4C" w14:textId="77777777" w:rsidR="00207CBB" w:rsidRDefault="00207CBB">
      <w:pPr>
        <w:pStyle w:val="BodyText"/>
      </w:pPr>
    </w:p>
    <w:p w14:paraId="6BA30FC9" w14:textId="77777777" w:rsidR="00207CBB" w:rsidRDefault="007729F9">
      <w:pPr>
        <w:pStyle w:val="BodyText"/>
        <w:ind w:left="226"/>
      </w:pPr>
      <w:r>
        <w:t>Currently, a free copy of our Brochure can be requested by contacting Lonny Elfenbein at (513) 977-8330.</w:t>
      </w:r>
    </w:p>
    <w:p w14:paraId="69A18A5A" w14:textId="77777777" w:rsidR="00207CBB" w:rsidRDefault="00207CBB">
      <w:pPr>
        <w:pStyle w:val="BodyText"/>
      </w:pPr>
    </w:p>
    <w:p w14:paraId="7545941B" w14:textId="77777777" w:rsidR="00207CBB" w:rsidRDefault="007729F9">
      <w:pPr>
        <w:pStyle w:val="BodyText"/>
        <w:ind w:firstLine="226"/>
      </w:pPr>
      <w:r>
        <w:t>We encourage the client to read this document in its entirety.</w:t>
      </w:r>
    </w:p>
    <w:p w14:paraId="094FC1DA" w14:textId="77777777" w:rsidR="00207CBB" w:rsidRDefault="00207CBB"/>
    <w:p w14:paraId="53CC8D5A" w14:textId="77777777" w:rsidR="00207CBB" w:rsidRDefault="00207CBB"/>
    <w:p w14:paraId="6957A8A2" w14:textId="77777777" w:rsidR="00207CBB" w:rsidRDefault="00207CBB"/>
    <w:p w14:paraId="62ED411E" w14:textId="77777777" w:rsidR="00207CBB" w:rsidRDefault="00207CBB"/>
    <w:p w14:paraId="42E7F5D0" w14:textId="77777777" w:rsidR="00207CBB" w:rsidRDefault="00207CBB"/>
    <w:p w14:paraId="57CE0534" w14:textId="77777777" w:rsidR="00207CBB" w:rsidRDefault="00207CBB"/>
    <w:p w14:paraId="15AA7129" w14:textId="77777777" w:rsidR="00207CBB" w:rsidRDefault="00207CBB"/>
    <w:p w14:paraId="46C4007F" w14:textId="77777777" w:rsidR="00207CBB" w:rsidRDefault="00207CBB"/>
    <w:p w14:paraId="6853D05E" w14:textId="77777777" w:rsidR="00207CBB" w:rsidRDefault="00207CBB"/>
    <w:p w14:paraId="726D83E2" w14:textId="77777777" w:rsidR="00207CBB" w:rsidRDefault="00207CBB"/>
    <w:p w14:paraId="6E6957DB" w14:textId="77777777" w:rsidR="00207CBB" w:rsidRDefault="00207CBB"/>
    <w:p w14:paraId="5A5C55FB" w14:textId="77777777" w:rsidR="00207CBB" w:rsidRDefault="00207CBB"/>
    <w:p w14:paraId="235B6DE7" w14:textId="77777777" w:rsidR="00207CBB" w:rsidRDefault="00207CBB"/>
    <w:p w14:paraId="05940A18" w14:textId="77777777" w:rsidR="00207CBB" w:rsidRDefault="00207CBB"/>
    <w:p w14:paraId="1B53DFA9" w14:textId="77777777" w:rsidR="00207CBB" w:rsidRDefault="00207CBB"/>
    <w:p w14:paraId="7BB81EEC" w14:textId="77777777" w:rsidR="00207CBB" w:rsidRDefault="00207CBB"/>
    <w:p w14:paraId="61873D57" w14:textId="77777777" w:rsidR="00207CBB" w:rsidRDefault="00207CBB"/>
    <w:p w14:paraId="1C492B51" w14:textId="77777777" w:rsidR="00207CBB" w:rsidRDefault="00207CBB"/>
    <w:p w14:paraId="3E0F8DCE" w14:textId="77777777" w:rsidR="00207CBB" w:rsidRDefault="00207CBB"/>
    <w:p w14:paraId="75BFE755" w14:textId="77777777" w:rsidR="00207CBB" w:rsidRDefault="00207CBB"/>
    <w:p w14:paraId="5E1A9D5D" w14:textId="77777777" w:rsidR="00207CBB" w:rsidRDefault="00207CBB"/>
    <w:p w14:paraId="3E13F1CB" w14:textId="77777777" w:rsidR="00207CBB" w:rsidRDefault="00207CBB"/>
    <w:p w14:paraId="1E2FE000" w14:textId="77777777" w:rsidR="00207CBB" w:rsidRDefault="00207CBB"/>
    <w:p w14:paraId="2DB11F04" w14:textId="77777777" w:rsidR="00207CBB" w:rsidRDefault="007729F9">
      <w:pPr>
        <w:rPr>
          <w:rFonts w:eastAsia="Calibri" w:cs="Calibri"/>
          <w:b/>
          <w:bCs/>
          <w:sz w:val="28"/>
          <w:szCs w:val="44"/>
          <w:u w:val="single"/>
        </w:rPr>
      </w:pPr>
      <w:bookmarkStart w:id="2" w:name="_bookmark2"/>
      <w:bookmarkEnd w:id="2"/>
      <w:r>
        <w:br w:type="page"/>
      </w:r>
    </w:p>
    <w:p w14:paraId="7EFFAD13" w14:textId="77777777" w:rsidR="00207CBB" w:rsidRDefault="007729F9">
      <w:pPr>
        <w:pStyle w:val="Heading1"/>
        <w:ind w:left="0" w:firstLine="226"/>
        <w:jc w:val="left"/>
        <w:rPr>
          <w:i/>
          <w:sz w:val="29"/>
        </w:rPr>
      </w:pPr>
      <w:bookmarkStart w:id="3" w:name="_Toc201066075"/>
      <w:r>
        <w:lastRenderedPageBreak/>
        <w:t xml:space="preserve">Item 3: Table of </w:t>
      </w:r>
      <w:r>
        <w:rPr>
          <w:sz w:val="29"/>
        </w:rPr>
        <w:t>Contents</w:t>
      </w:r>
      <w:bookmarkEnd w:id="3"/>
    </w:p>
    <w:p w14:paraId="319F9CD4" w14:textId="77777777" w:rsidR="00207CBB" w:rsidRDefault="00207CBB">
      <w:pPr>
        <w:spacing w:before="38" w:line="338" w:lineRule="exact"/>
        <w:ind w:left="230"/>
        <w:rPr>
          <w:b/>
          <w:i/>
          <w:sz w:val="29"/>
          <w:u w:val="single"/>
        </w:rPr>
      </w:pPr>
    </w:p>
    <w:p w14:paraId="53502C48" w14:textId="77777777" w:rsidR="00207CBB" w:rsidRDefault="007729F9">
      <w:pPr>
        <w:tabs>
          <w:tab w:val="right" w:leader="dot" w:pos="7550"/>
        </w:tabs>
        <w:spacing w:line="267" w:lineRule="exact"/>
        <w:ind w:left="234"/>
        <w:rPr>
          <w:b/>
        </w:rPr>
      </w:pPr>
      <w:r>
        <w:rPr>
          <w:b/>
        </w:rPr>
        <w:t>Item 1:</w:t>
      </w:r>
      <w:r>
        <w:rPr>
          <w:b/>
          <w:spacing w:val="-7"/>
        </w:rPr>
        <w:t xml:space="preserve"> </w:t>
      </w:r>
      <w:r>
        <w:rPr>
          <w:b/>
          <w:spacing w:val="-3"/>
        </w:rPr>
        <w:t>Cover</w:t>
      </w:r>
      <w:r>
        <w:rPr>
          <w:b/>
          <w:spacing w:val="-1"/>
        </w:rPr>
        <w:t xml:space="preserve"> </w:t>
      </w:r>
      <w:r>
        <w:rPr>
          <w:b/>
        </w:rPr>
        <w:t>Page………………………………………………………………………………………………………………….…………1</w:t>
      </w:r>
    </w:p>
    <w:p w14:paraId="66F93423" w14:textId="6E522E3F" w:rsidR="005066EF" w:rsidRDefault="007729F9">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r>
        <w:rPr>
          <w:rFonts w:ascii="Cambria Math" w:hAnsi="Cambria Math"/>
        </w:rPr>
        <w:fldChar w:fldCharType="begin"/>
      </w:r>
      <w:r>
        <w:rPr>
          <w:rFonts w:ascii="Cambria Math" w:hAnsi="Cambria Math"/>
        </w:rPr>
        <w:instrText xml:space="preserve"> TOC \o "1-1" \h \z \u </w:instrText>
      </w:r>
      <w:r>
        <w:rPr>
          <w:rFonts w:ascii="Cambria Math" w:hAnsi="Cambria Math"/>
        </w:rPr>
        <w:fldChar w:fldCharType="separate"/>
      </w:r>
      <w:hyperlink w:anchor="_Toc201066074" w:history="1">
        <w:r w:rsidR="005066EF" w:rsidRPr="00AC514D">
          <w:rPr>
            <w:rStyle w:val="Hyperlink"/>
            <w:noProof/>
          </w:rPr>
          <w:t>Item 2: Summary of Material Changes</w:t>
        </w:r>
        <w:r w:rsidR="005066EF">
          <w:rPr>
            <w:noProof/>
            <w:webHidden/>
          </w:rPr>
          <w:tab/>
        </w:r>
        <w:r w:rsidR="005066EF">
          <w:rPr>
            <w:noProof/>
            <w:webHidden/>
          </w:rPr>
          <w:fldChar w:fldCharType="begin"/>
        </w:r>
        <w:r w:rsidR="005066EF">
          <w:rPr>
            <w:noProof/>
            <w:webHidden/>
          </w:rPr>
          <w:instrText xml:space="preserve"> PAGEREF _Toc201066074 \h </w:instrText>
        </w:r>
        <w:r w:rsidR="005066EF">
          <w:rPr>
            <w:noProof/>
            <w:webHidden/>
          </w:rPr>
        </w:r>
        <w:r w:rsidR="005066EF">
          <w:rPr>
            <w:noProof/>
            <w:webHidden/>
          </w:rPr>
          <w:fldChar w:fldCharType="separate"/>
        </w:r>
        <w:r w:rsidR="005066EF">
          <w:rPr>
            <w:noProof/>
            <w:webHidden/>
          </w:rPr>
          <w:t>2</w:t>
        </w:r>
        <w:r w:rsidR="005066EF">
          <w:rPr>
            <w:noProof/>
            <w:webHidden/>
          </w:rPr>
          <w:fldChar w:fldCharType="end"/>
        </w:r>
      </w:hyperlink>
    </w:p>
    <w:p w14:paraId="01522323" w14:textId="5E9FA6F8"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75" w:history="1">
        <w:r w:rsidRPr="00AC514D">
          <w:rPr>
            <w:rStyle w:val="Hyperlink"/>
            <w:noProof/>
          </w:rPr>
          <w:t>Item 3: Table of Contents</w:t>
        </w:r>
        <w:r>
          <w:rPr>
            <w:noProof/>
            <w:webHidden/>
          </w:rPr>
          <w:tab/>
        </w:r>
        <w:r>
          <w:rPr>
            <w:noProof/>
            <w:webHidden/>
          </w:rPr>
          <w:fldChar w:fldCharType="begin"/>
        </w:r>
        <w:r>
          <w:rPr>
            <w:noProof/>
            <w:webHidden/>
          </w:rPr>
          <w:instrText xml:space="preserve"> PAGEREF _Toc201066075 \h </w:instrText>
        </w:r>
        <w:r>
          <w:rPr>
            <w:noProof/>
            <w:webHidden/>
          </w:rPr>
        </w:r>
        <w:r>
          <w:rPr>
            <w:noProof/>
            <w:webHidden/>
          </w:rPr>
          <w:fldChar w:fldCharType="separate"/>
        </w:r>
        <w:r>
          <w:rPr>
            <w:noProof/>
            <w:webHidden/>
          </w:rPr>
          <w:t>3</w:t>
        </w:r>
        <w:r>
          <w:rPr>
            <w:noProof/>
            <w:webHidden/>
          </w:rPr>
          <w:fldChar w:fldCharType="end"/>
        </w:r>
      </w:hyperlink>
    </w:p>
    <w:p w14:paraId="471AA6A5" w14:textId="6F050958"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76" w:history="1">
        <w:r w:rsidRPr="00AC514D">
          <w:rPr>
            <w:rStyle w:val="Hyperlink"/>
            <w:noProof/>
          </w:rPr>
          <w:t>Item 4: Advisory Business</w:t>
        </w:r>
        <w:r>
          <w:rPr>
            <w:noProof/>
            <w:webHidden/>
          </w:rPr>
          <w:tab/>
        </w:r>
        <w:r>
          <w:rPr>
            <w:noProof/>
            <w:webHidden/>
          </w:rPr>
          <w:fldChar w:fldCharType="begin"/>
        </w:r>
        <w:r>
          <w:rPr>
            <w:noProof/>
            <w:webHidden/>
          </w:rPr>
          <w:instrText xml:space="preserve"> PAGEREF _Toc201066076 \h </w:instrText>
        </w:r>
        <w:r>
          <w:rPr>
            <w:noProof/>
            <w:webHidden/>
          </w:rPr>
        </w:r>
        <w:r>
          <w:rPr>
            <w:noProof/>
            <w:webHidden/>
          </w:rPr>
          <w:fldChar w:fldCharType="separate"/>
        </w:r>
        <w:r>
          <w:rPr>
            <w:noProof/>
            <w:webHidden/>
          </w:rPr>
          <w:t>4</w:t>
        </w:r>
        <w:r>
          <w:rPr>
            <w:noProof/>
            <w:webHidden/>
          </w:rPr>
          <w:fldChar w:fldCharType="end"/>
        </w:r>
      </w:hyperlink>
    </w:p>
    <w:p w14:paraId="6477D2DE" w14:textId="6C47F915"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77" w:history="1">
        <w:r w:rsidRPr="00AC514D">
          <w:rPr>
            <w:rStyle w:val="Hyperlink"/>
            <w:noProof/>
          </w:rPr>
          <w:t>Item 5: Fees and Compensation</w:t>
        </w:r>
        <w:r>
          <w:rPr>
            <w:noProof/>
            <w:webHidden/>
          </w:rPr>
          <w:tab/>
        </w:r>
        <w:r>
          <w:rPr>
            <w:noProof/>
            <w:webHidden/>
          </w:rPr>
          <w:fldChar w:fldCharType="begin"/>
        </w:r>
        <w:r>
          <w:rPr>
            <w:noProof/>
            <w:webHidden/>
          </w:rPr>
          <w:instrText xml:space="preserve"> PAGEREF _Toc201066077 \h </w:instrText>
        </w:r>
        <w:r>
          <w:rPr>
            <w:noProof/>
            <w:webHidden/>
          </w:rPr>
        </w:r>
        <w:r>
          <w:rPr>
            <w:noProof/>
            <w:webHidden/>
          </w:rPr>
          <w:fldChar w:fldCharType="separate"/>
        </w:r>
        <w:r>
          <w:rPr>
            <w:noProof/>
            <w:webHidden/>
          </w:rPr>
          <w:t>5</w:t>
        </w:r>
        <w:r>
          <w:rPr>
            <w:noProof/>
            <w:webHidden/>
          </w:rPr>
          <w:fldChar w:fldCharType="end"/>
        </w:r>
      </w:hyperlink>
    </w:p>
    <w:p w14:paraId="63E18C87" w14:textId="414D6CD1"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78" w:history="1">
        <w:r w:rsidRPr="00AC514D">
          <w:rPr>
            <w:rStyle w:val="Hyperlink"/>
            <w:noProof/>
          </w:rPr>
          <w:t>Item 6: Performance Based Fees &amp; Side-By-Side Management</w:t>
        </w:r>
        <w:r>
          <w:rPr>
            <w:noProof/>
            <w:webHidden/>
          </w:rPr>
          <w:tab/>
        </w:r>
        <w:r>
          <w:rPr>
            <w:noProof/>
            <w:webHidden/>
          </w:rPr>
          <w:fldChar w:fldCharType="begin"/>
        </w:r>
        <w:r>
          <w:rPr>
            <w:noProof/>
            <w:webHidden/>
          </w:rPr>
          <w:instrText xml:space="preserve"> PAGEREF _Toc201066078 \h </w:instrText>
        </w:r>
        <w:r>
          <w:rPr>
            <w:noProof/>
            <w:webHidden/>
          </w:rPr>
        </w:r>
        <w:r>
          <w:rPr>
            <w:noProof/>
            <w:webHidden/>
          </w:rPr>
          <w:fldChar w:fldCharType="separate"/>
        </w:r>
        <w:r>
          <w:rPr>
            <w:noProof/>
            <w:webHidden/>
          </w:rPr>
          <w:t>7</w:t>
        </w:r>
        <w:r>
          <w:rPr>
            <w:noProof/>
            <w:webHidden/>
          </w:rPr>
          <w:fldChar w:fldCharType="end"/>
        </w:r>
      </w:hyperlink>
    </w:p>
    <w:p w14:paraId="5ED8F6E0" w14:textId="0AD5BF1D"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79" w:history="1">
        <w:r w:rsidRPr="00AC514D">
          <w:rPr>
            <w:rStyle w:val="Hyperlink"/>
            <w:noProof/>
          </w:rPr>
          <w:t>Item 7: Types of Clients</w:t>
        </w:r>
        <w:r>
          <w:rPr>
            <w:noProof/>
            <w:webHidden/>
          </w:rPr>
          <w:tab/>
        </w:r>
        <w:r>
          <w:rPr>
            <w:noProof/>
            <w:webHidden/>
          </w:rPr>
          <w:fldChar w:fldCharType="begin"/>
        </w:r>
        <w:r>
          <w:rPr>
            <w:noProof/>
            <w:webHidden/>
          </w:rPr>
          <w:instrText xml:space="preserve"> PAGEREF _Toc201066079 \h </w:instrText>
        </w:r>
        <w:r>
          <w:rPr>
            <w:noProof/>
            <w:webHidden/>
          </w:rPr>
        </w:r>
        <w:r>
          <w:rPr>
            <w:noProof/>
            <w:webHidden/>
          </w:rPr>
          <w:fldChar w:fldCharType="separate"/>
        </w:r>
        <w:r>
          <w:rPr>
            <w:noProof/>
            <w:webHidden/>
          </w:rPr>
          <w:t>7</w:t>
        </w:r>
        <w:r>
          <w:rPr>
            <w:noProof/>
            <w:webHidden/>
          </w:rPr>
          <w:fldChar w:fldCharType="end"/>
        </w:r>
      </w:hyperlink>
    </w:p>
    <w:p w14:paraId="4483D56D" w14:textId="46FC8D5C"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80" w:history="1">
        <w:r w:rsidRPr="00AC514D">
          <w:rPr>
            <w:rStyle w:val="Hyperlink"/>
            <w:noProof/>
          </w:rPr>
          <w:t>Item 8: Methods of Analysis, Investment Strategies, and Risk of Loss</w:t>
        </w:r>
        <w:r>
          <w:rPr>
            <w:noProof/>
            <w:webHidden/>
          </w:rPr>
          <w:tab/>
        </w:r>
        <w:r>
          <w:rPr>
            <w:noProof/>
            <w:webHidden/>
          </w:rPr>
          <w:fldChar w:fldCharType="begin"/>
        </w:r>
        <w:r>
          <w:rPr>
            <w:noProof/>
            <w:webHidden/>
          </w:rPr>
          <w:instrText xml:space="preserve"> PAGEREF _Toc201066080 \h </w:instrText>
        </w:r>
        <w:r>
          <w:rPr>
            <w:noProof/>
            <w:webHidden/>
          </w:rPr>
        </w:r>
        <w:r>
          <w:rPr>
            <w:noProof/>
            <w:webHidden/>
          </w:rPr>
          <w:fldChar w:fldCharType="separate"/>
        </w:r>
        <w:r>
          <w:rPr>
            <w:noProof/>
            <w:webHidden/>
          </w:rPr>
          <w:t>7</w:t>
        </w:r>
        <w:r>
          <w:rPr>
            <w:noProof/>
            <w:webHidden/>
          </w:rPr>
          <w:fldChar w:fldCharType="end"/>
        </w:r>
      </w:hyperlink>
    </w:p>
    <w:p w14:paraId="109F9F93" w14:textId="4AEF6CCC"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81" w:history="1">
        <w:r w:rsidRPr="00AC514D">
          <w:rPr>
            <w:rStyle w:val="Hyperlink"/>
            <w:noProof/>
          </w:rPr>
          <w:t>Item 9: Disciplinary Information</w:t>
        </w:r>
        <w:r>
          <w:rPr>
            <w:noProof/>
            <w:webHidden/>
          </w:rPr>
          <w:tab/>
        </w:r>
        <w:r>
          <w:rPr>
            <w:noProof/>
            <w:webHidden/>
          </w:rPr>
          <w:fldChar w:fldCharType="begin"/>
        </w:r>
        <w:r>
          <w:rPr>
            <w:noProof/>
            <w:webHidden/>
          </w:rPr>
          <w:instrText xml:space="preserve"> PAGEREF _Toc201066081 \h </w:instrText>
        </w:r>
        <w:r>
          <w:rPr>
            <w:noProof/>
            <w:webHidden/>
          </w:rPr>
        </w:r>
        <w:r>
          <w:rPr>
            <w:noProof/>
            <w:webHidden/>
          </w:rPr>
          <w:fldChar w:fldCharType="separate"/>
        </w:r>
        <w:r>
          <w:rPr>
            <w:noProof/>
            <w:webHidden/>
          </w:rPr>
          <w:t>11</w:t>
        </w:r>
        <w:r>
          <w:rPr>
            <w:noProof/>
            <w:webHidden/>
          </w:rPr>
          <w:fldChar w:fldCharType="end"/>
        </w:r>
      </w:hyperlink>
    </w:p>
    <w:p w14:paraId="56B9903C" w14:textId="185A4969"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82" w:history="1">
        <w:r w:rsidRPr="00AC514D">
          <w:rPr>
            <w:rStyle w:val="Hyperlink"/>
            <w:noProof/>
          </w:rPr>
          <w:t>Item 10: Other Financial Industry Activities and Affiliations</w:t>
        </w:r>
        <w:r>
          <w:rPr>
            <w:noProof/>
            <w:webHidden/>
          </w:rPr>
          <w:tab/>
        </w:r>
        <w:r>
          <w:rPr>
            <w:noProof/>
            <w:webHidden/>
          </w:rPr>
          <w:fldChar w:fldCharType="begin"/>
        </w:r>
        <w:r>
          <w:rPr>
            <w:noProof/>
            <w:webHidden/>
          </w:rPr>
          <w:instrText xml:space="preserve"> PAGEREF _Toc201066082 \h </w:instrText>
        </w:r>
        <w:r>
          <w:rPr>
            <w:noProof/>
            <w:webHidden/>
          </w:rPr>
        </w:r>
        <w:r>
          <w:rPr>
            <w:noProof/>
            <w:webHidden/>
          </w:rPr>
          <w:fldChar w:fldCharType="separate"/>
        </w:r>
        <w:r>
          <w:rPr>
            <w:noProof/>
            <w:webHidden/>
          </w:rPr>
          <w:t>11</w:t>
        </w:r>
        <w:r>
          <w:rPr>
            <w:noProof/>
            <w:webHidden/>
          </w:rPr>
          <w:fldChar w:fldCharType="end"/>
        </w:r>
      </w:hyperlink>
    </w:p>
    <w:p w14:paraId="27DF32BA" w14:textId="6AE6677E"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83" w:history="1">
        <w:r w:rsidRPr="00AC514D">
          <w:rPr>
            <w:rStyle w:val="Hyperlink"/>
            <w:noProof/>
          </w:rPr>
          <w:t>Item 11: Code of Ethics, Participation or Interest in Client Transactions and Personal Trading</w:t>
        </w:r>
        <w:r>
          <w:rPr>
            <w:noProof/>
            <w:webHidden/>
          </w:rPr>
          <w:tab/>
        </w:r>
        <w:r>
          <w:rPr>
            <w:noProof/>
            <w:webHidden/>
          </w:rPr>
          <w:fldChar w:fldCharType="begin"/>
        </w:r>
        <w:r>
          <w:rPr>
            <w:noProof/>
            <w:webHidden/>
          </w:rPr>
          <w:instrText xml:space="preserve"> PAGEREF _Toc201066083 \h </w:instrText>
        </w:r>
        <w:r>
          <w:rPr>
            <w:noProof/>
            <w:webHidden/>
          </w:rPr>
        </w:r>
        <w:r>
          <w:rPr>
            <w:noProof/>
            <w:webHidden/>
          </w:rPr>
          <w:fldChar w:fldCharType="separate"/>
        </w:r>
        <w:r>
          <w:rPr>
            <w:noProof/>
            <w:webHidden/>
          </w:rPr>
          <w:t>11</w:t>
        </w:r>
        <w:r>
          <w:rPr>
            <w:noProof/>
            <w:webHidden/>
          </w:rPr>
          <w:fldChar w:fldCharType="end"/>
        </w:r>
      </w:hyperlink>
    </w:p>
    <w:p w14:paraId="38A9D6BF" w14:textId="0F89EDC0"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84" w:history="1">
        <w:r w:rsidRPr="00AC514D">
          <w:rPr>
            <w:rStyle w:val="Hyperlink"/>
            <w:noProof/>
          </w:rPr>
          <w:t>Item 12: Brokerage Practices</w:t>
        </w:r>
        <w:r>
          <w:rPr>
            <w:noProof/>
            <w:webHidden/>
          </w:rPr>
          <w:tab/>
        </w:r>
        <w:r>
          <w:rPr>
            <w:noProof/>
            <w:webHidden/>
          </w:rPr>
          <w:fldChar w:fldCharType="begin"/>
        </w:r>
        <w:r>
          <w:rPr>
            <w:noProof/>
            <w:webHidden/>
          </w:rPr>
          <w:instrText xml:space="preserve"> PAGEREF _Toc201066084 \h </w:instrText>
        </w:r>
        <w:r>
          <w:rPr>
            <w:noProof/>
            <w:webHidden/>
          </w:rPr>
        </w:r>
        <w:r>
          <w:rPr>
            <w:noProof/>
            <w:webHidden/>
          </w:rPr>
          <w:fldChar w:fldCharType="separate"/>
        </w:r>
        <w:r>
          <w:rPr>
            <w:noProof/>
            <w:webHidden/>
          </w:rPr>
          <w:t>12</w:t>
        </w:r>
        <w:r>
          <w:rPr>
            <w:noProof/>
            <w:webHidden/>
          </w:rPr>
          <w:fldChar w:fldCharType="end"/>
        </w:r>
      </w:hyperlink>
    </w:p>
    <w:p w14:paraId="66A03AAC" w14:textId="7CD91BCC"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85" w:history="1">
        <w:r w:rsidRPr="00AC514D">
          <w:rPr>
            <w:rStyle w:val="Hyperlink"/>
            <w:noProof/>
          </w:rPr>
          <w:t>Item 13: Review of Accounts</w:t>
        </w:r>
        <w:r>
          <w:rPr>
            <w:noProof/>
            <w:webHidden/>
          </w:rPr>
          <w:tab/>
        </w:r>
        <w:r>
          <w:rPr>
            <w:noProof/>
            <w:webHidden/>
          </w:rPr>
          <w:fldChar w:fldCharType="begin"/>
        </w:r>
        <w:r>
          <w:rPr>
            <w:noProof/>
            <w:webHidden/>
          </w:rPr>
          <w:instrText xml:space="preserve"> PAGEREF _Toc201066085 \h </w:instrText>
        </w:r>
        <w:r>
          <w:rPr>
            <w:noProof/>
            <w:webHidden/>
          </w:rPr>
        </w:r>
        <w:r>
          <w:rPr>
            <w:noProof/>
            <w:webHidden/>
          </w:rPr>
          <w:fldChar w:fldCharType="separate"/>
        </w:r>
        <w:r>
          <w:rPr>
            <w:noProof/>
            <w:webHidden/>
          </w:rPr>
          <w:t>14</w:t>
        </w:r>
        <w:r>
          <w:rPr>
            <w:noProof/>
            <w:webHidden/>
          </w:rPr>
          <w:fldChar w:fldCharType="end"/>
        </w:r>
      </w:hyperlink>
    </w:p>
    <w:p w14:paraId="2BF7B7CB" w14:textId="6582714B"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86" w:history="1">
        <w:r w:rsidRPr="00AC514D">
          <w:rPr>
            <w:rStyle w:val="Hyperlink"/>
            <w:noProof/>
          </w:rPr>
          <w:t>Item 14: Client Referrals and Other Compensation</w:t>
        </w:r>
        <w:r>
          <w:rPr>
            <w:noProof/>
            <w:webHidden/>
          </w:rPr>
          <w:tab/>
        </w:r>
        <w:r>
          <w:rPr>
            <w:noProof/>
            <w:webHidden/>
          </w:rPr>
          <w:fldChar w:fldCharType="begin"/>
        </w:r>
        <w:r>
          <w:rPr>
            <w:noProof/>
            <w:webHidden/>
          </w:rPr>
          <w:instrText xml:space="preserve"> PAGEREF _Toc201066086 \h </w:instrText>
        </w:r>
        <w:r>
          <w:rPr>
            <w:noProof/>
            <w:webHidden/>
          </w:rPr>
        </w:r>
        <w:r>
          <w:rPr>
            <w:noProof/>
            <w:webHidden/>
          </w:rPr>
          <w:fldChar w:fldCharType="separate"/>
        </w:r>
        <w:r>
          <w:rPr>
            <w:noProof/>
            <w:webHidden/>
          </w:rPr>
          <w:t>15</w:t>
        </w:r>
        <w:r>
          <w:rPr>
            <w:noProof/>
            <w:webHidden/>
          </w:rPr>
          <w:fldChar w:fldCharType="end"/>
        </w:r>
      </w:hyperlink>
    </w:p>
    <w:p w14:paraId="5952C262" w14:textId="59902971"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87" w:history="1">
        <w:r w:rsidRPr="00AC514D">
          <w:rPr>
            <w:rStyle w:val="Hyperlink"/>
            <w:noProof/>
          </w:rPr>
          <w:t>Item 15: Custody</w:t>
        </w:r>
        <w:r>
          <w:rPr>
            <w:noProof/>
            <w:webHidden/>
          </w:rPr>
          <w:tab/>
        </w:r>
        <w:r>
          <w:rPr>
            <w:noProof/>
            <w:webHidden/>
          </w:rPr>
          <w:fldChar w:fldCharType="begin"/>
        </w:r>
        <w:r>
          <w:rPr>
            <w:noProof/>
            <w:webHidden/>
          </w:rPr>
          <w:instrText xml:space="preserve"> PAGEREF _Toc201066087 \h </w:instrText>
        </w:r>
        <w:r>
          <w:rPr>
            <w:noProof/>
            <w:webHidden/>
          </w:rPr>
        </w:r>
        <w:r>
          <w:rPr>
            <w:noProof/>
            <w:webHidden/>
          </w:rPr>
          <w:fldChar w:fldCharType="separate"/>
        </w:r>
        <w:r>
          <w:rPr>
            <w:noProof/>
            <w:webHidden/>
          </w:rPr>
          <w:t>1</w:t>
        </w:r>
        <w:r>
          <w:rPr>
            <w:noProof/>
            <w:webHidden/>
          </w:rPr>
          <w:t>5</w:t>
        </w:r>
        <w:r>
          <w:rPr>
            <w:noProof/>
            <w:webHidden/>
          </w:rPr>
          <w:fldChar w:fldCharType="end"/>
        </w:r>
      </w:hyperlink>
    </w:p>
    <w:p w14:paraId="56F8090F" w14:textId="3B7B8F17"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88" w:history="1">
        <w:r w:rsidRPr="00AC514D">
          <w:rPr>
            <w:rStyle w:val="Hyperlink"/>
            <w:noProof/>
          </w:rPr>
          <w:t>Item 17: Voting Client Securities (Proxy Voting)</w:t>
        </w:r>
        <w:r>
          <w:rPr>
            <w:noProof/>
            <w:webHidden/>
          </w:rPr>
          <w:tab/>
        </w:r>
        <w:r>
          <w:rPr>
            <w:noProof/>
            <w:webHidden/>
          </w:rPr>
          <w:fldChar w:fldCharType="begin"/>
        </w:r>
        <w:r>
          <w:rPr>
            <w:noProof/>
            <w:webHidden/>
          </w:rPr>
          <w:instrText xml:space="preserve"> PAGEREF _Toc201066088 \h </w:instrText>
        </w:r>
        <w:r>
          <w:rPr>
            <w:noProof/>
            <w:webHidden/>
          </w:rPr>
        </w:r>
        <w:r>
          <w:rPr>
            <w:noProof/>
            <w:webHidden/>
          </w:rPr>
          <w:fldChar w:fldCharType="separate"/>
        </w:r>
        <w:r>
          <w:rPr>
            <w:noProof/>
            <w:webHidden/>
          </w:rPr>
          <w:t>17</w:t>
        </w:r>
        <w:r>
          <w:rPr>
            <w:noProof/>
            <w:webHidden/>
          </w:rPr>
          <w:fldChar w:fldCharType="end"/>
        </w:r>
      </w:hyperlink>
    </w:p>
    <w:p w14:paraId="04806E07" w14:textId="7959CD46" w:rsidR="005066EF" w:rsidRDefault="005066EF">
      <w:pPr>
        <w:pStyle w:val="TOC1"/>
        <w:tabs>
          <w:tab w:val="right" w:leader="dot" w:pos="9926"/>
        </w:tabs>
        <w:rPr>
          <w:rFonts w:asciiTheme="minorHAnsi" w:eastAsiaTheme="minorEastAsia" w:hAnsiTheme="minorHAnsi" w:cstheme="minorBidi"/>
          <w:b w:val="0"/>
          <w:bCs w:val="0"/>
          <w:noProof/>
          <w:kern w:val="2"/>
          <w:sz w:val="24"/>
          <w:szCs w:val="24"/>
          <w:lang w:bidi="ar-SA"/>
          <w14:ligatures w14:val="standardContextual"/>
        </w:rPr>
      </w:pPr>
      <w:hyperlink w:anchor="_Toc201066089" w:history="1">
        <w:r w:rsidRPr="00AC514D">
          <w:rPr>
            <w:rStyle w:val="Hyperlink"/>
            <w:noProof/>
          </w:rPr>
          <w:t>Item 18: Financial Information</w:t>
        </w:r>
        <w:r>
          <w:rPr>
            <w:noProof/>
            <w:webHidden/>
          </w:rPr>
          <w:tab/>
        </w:r>
        <w:r>
          <w:rPr>
            <w:noProof/>
            <w:webHidden/>
          </w:rPr>
          <w:fldChar w:fldCharType="begin"/>
        </w:r>
        <w:r>
          <w:rPr>
            <w:noProof/>
            <w:webHidden/>
          </w:rPr>
          <w:instrText xml:space="preserve"> PAGEREF _Toc201066089 \h </w:instrText>
        </w:r>
        <w:r>
          <w:rPr>
            <w:noProof/>
            <w:webHidden/>
          </w:rPr>
        </w:r>
        <w:r>
          <w:rPr>
            <w:noProof/>
            <w:webHidden/>
          </w:rPr>
          <w:fldChar w:fldCharType="separate"/>
        </w:r>
        <w:r>
          <w:rPr>
            <w:noProof/>
            <w:webHidden/>
          </w:rPr>
          <w:t>17</w:t>
        </w:r>
        <w:r>
          <w:rPr>
            <w:noProof/>
            <w:webHidden/>
          </w:rPr>
          <w:fldChar w:fldCharType="end"/>
        </w:r>
      </w:hyperlink>
    </w:p>
    <w:p w14:paraId="6EFCB8FA" w14:textId="77777777" w:rsidR="00207CBB" w:rsidRDefault="007729F9">
      <w:pPr>
        <w:rPr>
          <w:sz w:val="23"/>
        </w:rPr>
      </w:pPr>
      <w:r>
        <w:fldChar w:fldCharType="end"/>
      </w:r>
      <w:r>
        <w:rPr>
          <w:sz w:val="23"/>
        </w:rPr>
        <w:br w:type="page"/>
      </w:r>
    </w:p>
    <w:p w14:paraId="70514AF9" w14:textId="77777777" w:rsidR="00207CBB" w:rsidRDefault="007729F9">
      <w:pPr>
        <w:pStyle w:val="Heading1"/>
        <w:ind w:left="0" w:firstLine="230"/>
        <w:jc w:val="left"/>
      </w:pPr>
      <w:bookmarkStart w:id="4" w:name="_bookmark3"/>
      <w:bookmarkStart w:id="5" w:name="_Toc201066076"/>
      <w:bookmarkEnd w:id="4"/>
      <w:r>
        <w:lastRenderedPageBreak/>
        <w:t>Item 4: Advisory Business</w:t>
      </w:r>
      <w:bookmarkEnd w:id="5"/>
    </w:p>
    <w:p w14:paraId="79B631E8" w14:textId="77777777" w:rsidR="00207CBB" w:rsidRDefault="00207CBB">
      <w:pPr>
        <w:spacing w:before="22"/>
        <w:ind w:left="230"/>
        <w:rPr>
          <w:b/>
          <w:sz w:val="28"/>
        </w:rPr>
      </w:pPr>
    </w:p>
    <w:p w14:paraId="5DA5906F" w14:textId="77777777" w:rsidR="00207CBB" w:rsidRDefault="007729F9">
      <w:pPr>
        <w:pStyle w:val="BodyText"/>
        <w:spacing w:before="7"/>
        <w:ind w:left="230" w:right="337"/>
      </w:pPr>
      <w:r>
        <w:t>BFC originated in 1989 and was incorporated in 1993.</w:t>
      </w:r>
      <w:r>
        <w:rPr>
          <w:spacing w:val="-8"/>
        </w:rPr>
        <w:t xml:space="preserve"> </w:t>
      </w:r>
      <w:r>
        <w:t>The</w:t>
      </w:r>
      <w:r>
        <w:rPr>
          <w:spacing w:val="-8"/>
        </w:rPr>
        <w:t xml:space="preserve"> </w:t>
      </w:r>
      <w:r>
        <w:t>Adviser’s</w:t>
      </w:r>
      <w:r>
        <w:rPr>
          <w:spacing w:val="-9"/>
        </w:rPr>
        <w:t xml:space="preserve"> </w:t>
      </w:r>
      <w:r>
        <w:t>majority</w:t>
      </w:r>
      <w:r>
        <w:rPr>
          <w:spacing w:val="-6"/>
        </w:rPr>
        <w:t xml:space="preserve"> </w:t>
      </w:r>
      <w:r>
        <w:t>owner,</w:t>
      </w:r>
      <w:r>
        <w:rPr>
          <w:spacing w:val="-8"/>
        </w:rPr>
        <w:t xml:space="preserve"> </w:t>
      </w:r>
      <w:r>
        <w:t>Elaine</w:t>
      </w:r>
      <w:r>
        <w:rPr>
          <w:spacing w:val="-3"/>
        </w:rPr>
        <w:t xml:space="preserve"> </w:t>
      </w:r>
      <w:r>
        <w:t>Kops-Bedel</w:t>
      </w:r>
      <w:r>
        <w:rPr>
          <w:spacing w:val="-5"/>
        </w:rPr>
        <w:t xml:space="preserve"> </w:t>
      </w:r>
      <w:r>
        <w:t>has</w:t>
      </w:r>
      <w:r>
        <w:rPr>
          <w:spacing w:val="-4"/>
        </w:rPr>
        <w:t xml:space="preserve"> </w:t>
      </w:r>
      <w:r>
        <w:t>been</w:t>
      </w:r>
      <w:r>
        <w:rPr>
          <w:spacing w:val="-1"/>
        </w:rPr>
        <w:t xml:space="preserve"> </w:t>
      </w:r>
      <w:r>
        <w:t>active</w:t>
      </w:r>
      <w:r>
        <w:rPr>
          <w:spacing w:val="-3"/>
        </w:rPr>
        <w:t xml:space="preserve"> </w:t>
      </w:r>
      <w:r>
        <w:t>in</w:t>
      </w:r>
      <w:r>
        <w:rPr>
          <w:spacing w:val="-6"/>
        </w:rPr>
        <w:t xml:space="preserve"> </w:t>
      </w:r>
      <w:r>
        <w:t>the</w:t>
      </w:r>
      <w:r>
        <w:rPr>
          <w:spacing w:val="-4"/>
        </w:rPr>
        <w:t xml:space="preserve"> </w:t>
      </w:r>
      <w:r>
        <w:t>industry</w:t>
      </w:r>
      <w:r>
        <w:rPr>
          <w:spacing w:val="-7"/>
        </w:rPr>
        <w:t xml:space="preserve"> </w:t>
      </w:r>
      <w:r>
        <w:t xml:space="preserve">since 1979 and the minority owner, Evan Bedel, has been active in the industry since 2008. </w:t>
      </w:r>
      <w:r>
        <w:rPr>
          <w:spacing w:val="4"/>
        </w:rPr>
        <w:t xml:space="preserve">The </w:t>
      </w:r>
      <w:r>
        <w:t>Adviser is an independent, fee-only registered investment advisory firm providing customized portfolio management to private individuals, families, trusts, estates, charitable organizations, institutions and retirement plans. The Adviser also provides financial planning</w:t>
      </w:r>
      <w:r>
        <w:rPr>
          <w:spacing w:val="-10"/>
        </w:rPr>
        <w:t xml:space="preserve"> </w:t>
      </w:r>
      <w:r>
        <w:t>services</w:t>
      </w:r>
      <w:r>
        <w:rPr>
          <w:spacing w:val="-12"/>
        </w:rPr>
        <w:t xml:space="preserve"> </w:t>
      </w:r>
      <w:r>
        <w:t>to</w:t>
      </w:r>
      <w:r>
        <w:rPr>
          <w:spacing w:val="-6"/>
        </w:rPr>
        <w:t xml:space="preserve"> </w:t>
      </w:r>
      <w:r>
        <w:rPr>
          <w:spacing w:val="-4"/>
        </w:rPr>
        <w:t>its</w:t>
      </w:r>
      <w:r>
        <w:rPr>
          <w:spacing w:val="-22"/>
        </w:rPr>
        <w:t xml:space="preserve"> </w:t>
      </w:r>
      <w:r>
        <w:t>clients.</w:t>
      </w:r>
      <w:r>
        <w:rPr>
          <w:spacing w:val="-11"/>
        </w:rPr>
        <w:t xml:space="preserve"> </w:t>
      </w:r>
      <w:r>
        <w:t>The</w:t>
      </w:r>
      <w:r>
        <w:rPr>
          <w:spacing w:val="-12"/>
        </w:rPr>
        <w:t xml:space="preserve"> </w:t>
      </w:r>
      <w:r>
        <w:t>Adviser</w:t>
      </w:r>
      <w:r>
        <w:rPr>
          <w:spacing w:val="-9"/>
        </w:rPr>
        <w:t xml:space="preserve"> </w:t>
      </w:r>
      <w:r>
        <w:t>is</w:t>
      </w:r>
      <w:r>
        <w:rPr>
          <w:spacing w:val="-17"/>
        </w:rPr>
        <w:t xml:space="preserve"> </w:t>
      </w:r>
      <w:r>
        <w:t>a</w:t>
      </w:r>
      <w:r>
        <w:rPr>
          <w:spacing w:val="-12"/>
        </w:rPr>
        <w:t xml:space="preserve"> </w:t>
      </w:r>
      <w:r>
        <w:rPr>
          <w:spacing w:val="-4"/>
        </w:rPr>
        <w:t>fiduciary</w:t>
      </w:r>
      <w:r>
        <w:rPr>
          <w:spacing w:val="-17"/>
        </w:rPr>
        <w:t xml:space="preserve"> </w:t>
      </w:r>
      <w:r>
        <w:t>and</w:t>
      </w:r>
      <w:r>
        <w:rPr>
          <w:spacing w:val="-13"/>
        </w:rPr>
        <w:t xml:space="preserve"> </w:t>
      </w:r>
      <w:r>
        <w:t>is</w:t>
      </w:r>
      <w:r>
        <w:rPr>
          <w:spacing w:val="-18"/>
        </w:rPr>
        <w:t xml:space="preserve"> </w:t>
      </w:r>
      <w:r>
        <w:rPr>
          <w:spacing w:val="-3"/>
        </w:rPr>
        <w:t>required</w:t>
      </w:r>
      <w:r>
        <w:rPr>
          <w:spacing w:val="-18"/>
        </w:rPr>
        <w:t xml:space="preserve"> </w:t>
      </w:r>
      <w:r>
        <w:t>to</w:t>
      </w:r>
      <w:r>
        <w:rPr>
          <w:spacing w:val="-12"/>
        </w:rPr>
        <w:t xml:space="preserve"> </w:t>
      </w:r>
      <w:r>
        <w:t>act</w:t>
      </w:r>
      <w:r>
        <w:rPr>
          <w:spacing w:val="-16"/>
        </w:rPr>
        <w:t xml:space="preserve"> </w:t>
      </w:r>
      <w:r>
        <w:t>in</w:t>
      </w:r>
      <w:r>
        <w:rPr>
          <w:spacing w:val="-14"/>
        </w:rPr>
        <w:t xml:space="preserve"> </w:t>
      </w:r>
      <w:r>
        <w:t>a</w:t>
      </w:r>
      <w:r>
        <w:rPr>
          <w:spacing w:val="-13"/>
        </w:rPr>
        <w:t xml:space="preserve"> </w:t>
      </w:r>
      <w:r>
        <w:rPr>
          <w:spacing w:val="-4"/>
        </w:rPr>
        <w:t>client’s</w:t>
      </w:r>
      <w:r>
        <w:rPr>
          <w:spacing w:val="-17"/>
        </w:rPr>
        <w:t xml:space="preserve"> </w:t>
      </w:r>
      <w:r>
        <w:rPr>
          <w:spacing w:val="-3"/>
        </w:rPr>
        <w:t xml:space="preserve">best </w:t>
      </w:r>
      <w:r>
        <w:rPr>
          <w:spacing w:val="-4"/>
        </w:rPr>
        <w:t xml:space="preserve">interest </w:t>
      </w:r>
      <w:r>
        <w:t>at all</w:t>
      </w:r>
      <w:r>
        <w:rPr>
          <w:spacing w:val="-13"/>
        </w:rPr>
        <w:t xml:space="preserve"> </w:t>
      </w:r>
      <w:r>
        <w:rPr>
          <w:spacing w:val="-4"/>
        </w:rPr>
        <w:t>times.</w:t>
      </w:r>
    </w:p>
    <w:p w14:paraId="33A2D59B" w14:textId="77777777" w:rsidR="00207CBB" w:rsidRDefault="00207CBB">
      <w:pPr>
        <w:pStyle w:val="BodyText"/>
        <w:spacing w:before="3"/>
      </w:pPr>
    </w:p>
    <w:p w14:paraId="08E968A3" w14:textId="77777777" w:rsidR="00207CBB" w:rsidRDefault="007729F9">
      <w:pPr>
        <w:pStyle w:val="BodyText"/>
        <w:ind w:firstLine="230"/>
        <w:rPr>
          <w:b/>
          <w:u w:val="single"/>
        </w:rPr>
      </w:pPr>
      <w:r>
        <w:rPr>
          <w:b/>
          <w:u w:val="single"/>
        </w:rPr>
        <w:t>Managing Investment Advisory Accounts</w:t>
      </w:r>
    </w:p>
    <w:p w14:paraId="7D5FFA12" w14:textId="77777777" w:rsidR="00207CBB" w:rsidRDefault="00207CBB">
      <w:pPr>
        <w:pStyle w:val="BodyText"/>
      </w:pPr>
    </w:p>
    <w:p w14:paraId="660981F8" w14:textId="77777777" w:rsidR="00207CBB" w:rsidRDefault="007729F9">
      <w:pPr>
        <w:pStyle w:val="BodyText"/>
        <w:spacing w:before="5" w:line="237" w:lineRule="auto"/>
        <w:ind w:left="230" w:right="358"/>
      </w:pPr>
      <w:r>
        <w:t>This service includes recommendations for the purchase of securities for an investment account.</w:t>
      </w:r>
    </w:p>
    <w:p w14:paraId="15CBE3A2" w14:textId="77777777" w:rsidR="00207CBB" w:rsidRDefault="00207CBB">
      <w:pPr>
        <w:pStyle w:val="BodyText"/>
        <w:spacing w:before="4"/>
      </w:pPr>
    </w:p>
    <w:p w14:paraId="49E87DD7" w14:textId="77777777" w:rsidR="00207CBB" w:rsidRDefault="007729F9">
      <w:pPr>
        <w:pStyle w:val="BodyText"/>
        <w:ind w:firstLine="230"/>
        <w:rPr>
          <w:b/>
          <w:u w:val="single"/>
        </w:rPr>
      </w:pPr>
      <w:r>
        <w:rPr>
          <w:b/>
          <w:u w:val="single"/>
        </w:rPr>
        <w:t>Financial Planning</w:t>
      </w:r>
    </w:p>
    <w:p w14:paraId="77307F96" w14:textId="77777777" w:rsidR="00207CBB" w:rsidRDefault="00207CBB">
      <w:pPr>
        <w:pStyle w:val="BodyText"/>
        <w:ind w:firstLine="230"/>
        <w:rPr>
          <w:b/>
        </w:rPr>
      </w:pPr>
    </w:p>
    <w:p w14:paraId="1A9B9F92" w14:textId="77777777" w:rsidR="00207CBB" w:rsidRDefault="007729F9">
      <w:pPr>
        <w:pStyle w:val="BodyText"/>
        <w:spacing w:before="7" w:line="235" w:lineRule="auto"/>
        <w:ind w:left="230" w:right="341"/>
      </w:pPr>
      <w:r>
        <w:t>This service provides the client with income tax planning, estate planning, retirement planning,</w:t>
      </w:r>
      <w:r>
        <w:rPr>
          <w:spacing w:val="-9"/>
        </w:rPr>
        <w:t xml:space="preserve"> </w:t>
      </w:r>
      <w:r>
        <w:t>insurance</w:t>
      </w:r>
      <w:r>
        <w:rPr>
          <w:spacing w:val="-10"/>
        </w:rPr>
        <w:t xml:space="preserve"> </w:t>
      </w:r>
      <w:r>
        <w:t>needs</w:t>
      </w:r>
      <w:r>
        <w:rPr>
          <w:spacing w:val="-8"/>
        </w:rPr>
        <w:t xml:space="preserve"> </w:t>
      </w:r>
      <w:r>
        <w:t>analysis,</w:t>
      </w:r>
      <w:r>
        <w:rPr>
          <w:spacing w:val="-8"/>
        </w:rPr>
        <w:t xml:space="preserve"> </w:t>
      </w:r>
      <w:r>
        <w:t>education</w:t>
      </w:r>
      <w:r>
        <w:rPr>
          <w:spacing w:val="-9"/>
        </w:rPr>
        <w:t xml:space="preserve"> </w:t>
      </w:r>
      <w:r>
        <w:t>funding</w:t>
      </w:r>
      <w:r>
        <w:rPr>
          <w:spacing w:val="-9"/>
        </w:rPr>
        <w:t xml:space="preserve"> </w:t>
      </w:r>
      <w:r>
        <w:t>and</w:t>
      </w:r>
      <w:r>
        <w:rPr>
          <w:spacing w:val="-10"/>
        </w:rPr>
        <w:t xml:space="preserve"> </w:t>
      </w:r>
      <w:r>
        <w:t>any</w:t>
      </w:r>
      <w:r>
        <w:rPr>
          <w:spacing w:val="-6"/>
        </w:rPr>
        <w:t xml:space="preserve"> </w:t>
      </w:r>
      <w:r>
        <w:t>other</w:t>
      </w:r>
      <w:r>
        <w:rPr>
          <w:spacing w:val="-9"/>
        </w:rPr>
        <w:t xml:space="preserve"> </w:t>
      </w:r>
      <w:r>
        <w:t>finance</w:t>
      </w:r>
      <w:r>
        <w:rPr>
          <w:spacing w:val="-9"/>
        </w:rPr>
        <w:t xml:space="preserve"> </w:t>
      </w:r>
      <w:r>
        <w:t>related</w:t>
      </w:r>
      <w:r>
        <w:rPr>
          <w:spacing w:val="-4"/>
        </w:rPr>
        <w:t xml:space="preserve"> </w:t>
      </w:r>
      <w:r>
        <w:t>areas</w:t>
      </w:r>
      <w:r>
        <w:rPr>
          <w:spacing w:val="-8"/>
        </w:rPr>
        <w:t xml:space="preserve"> </w:t>
      </w:r>
      <w:r>
        <w:t>of concern to the client, i.e. family business planning or charitable</w:t>
      </w:r>
      <w:r>
        <w:rPr>
          <w:spacing w:val="-17"/>
        </w:rPr>
        <w:t xml:space="preserve"> </w:t>
      </w:r>
      <w:r>
        <w:t>planning.</w:t>
      </w:r>
    </w:p>
    <w:p w14:paraId="5F45641A" w14:textId="77777777" w:rsidR="00207CBB" w:rsidRDefault="00207CBB">
      <w:pPr>
        <w:pStyle w:val="BodyText"/>
        <w:spacing w:before="10"/>
        <w:rPr>
          <w:u w:val="single"/>
        </w:rPr>
      </w:pPr>
    </w:p>
    <w:p w14:paraId="041E1EE7" w14:textId="77777777" w:rsidR="00207CBB" w:rsidRDefault="007729F9">
      <w:pPr>
        <w:pStyle w:val="BodyText"/>
        <w:ind w:firstLine="230"/>
        <w:rPr>
          <w:b/>
          <w:u w:val="single"/>
        </w:rPr>
      </w:pPr>
      <w:r>
        <w:rPr>
          <w:b/>
          <w:u w:val="single"/>
        </w:rPr>
        <w:t>Types of Investments</w:t>
      </w:r>
    </w:p>
    <w:p w14:paraId="12943526" w14:textId="77777777" w:rsidR="00207CBB" w:rsidRDefault="00207CBB">
      <w:pPr>
        <w:pStyle w:val="BodyText"/>
      </w:pPr>
    </w:p>
    <w:p w14:paraId="5AC7B33E" w14:textId="77777777" w:rsidR="00207CBB" w:rsidRDefault="007729F9">
      <w:pPr>
        <w:pStyle w:val="BodyText"/>
        <w:ind w:left="230" w:right="338"/>
      </w:pPr>
      <w:r>
        <w:t>Adviser</w:t>
      </w:r>
      <w:r>
        <w:rPr>
          <w:spacing w:val="-8"/>
        </w:rPr>
        <w:t xml:space="preserve"> </w:t>
      </w:r>
      <w:r>
        <w:t>typically</w:t>
      </w:r>
      <w:r>
        <w:rPr>
          <w:spacing w:val="-10"/>
        </w:rPr>
        <w:t xml:space="preserve"> </w:t>
      </w:r>
      <w:r>
        <w:t>provides</w:t>
      </w:r>
      <w:r>
        <w:rPr>
          <w:spacing w:val="-12"/>
        </w:rPr>
        <w:t xml:space="preserve"> </w:t>
      </w:r>
      <w:r>
        <w:t>investment</w:t>
      </w:r>
      <w:r>
        <w:rPr>
          <w:spacing w:val="-8"/>
        </w:rPr>
        <w:t xml:space="preserve"> </w:t>
      </w:r>
      <w:r>
        <w:t>advice</w:t>
      </w:r>
      <w:r>
        <w:rPr>
          <w:spacing w:val="-11"/>
        </w:rPr>
        <w:t xml:space="preserve"> </w:t>
      </w:r>
      <w:r>
        <w:t>on</w:t>
      </w:r>
      <w:r>
        <w:rPr>
          <w:spacing w:val="-9"/>
        </w:rPr>
        <w:t xml:space="preserve"> </w:t>
      </w:r>
      <w:r>
        <w:t>exchange</w:t>
      </w:r>
      <w:r>
        <w:rPr>
          <w:spacing w:val="-10"/>
        </w:rPr>
        <w:t xml:space="preserve"> </w:t>
      </w:r>
      <w:r>
        <w:t>listed</w:t>
      </w:r>
      <w:r>
        <w:rPr>
          <w:spacing w:val="-2"/>
        </w:rPr>
        <w:t xml:space="preserve"> </w:t>
      </w:r>
      <w:r>
        <w:t>securities,</w:t>
      </w:r>
      <w:r>
        <w:rPr>
          <w:spacing w:val="-6"/>
        </w:rPr>
        <w:t xml:space="preserve"> </w:t>
      </w:r>
      <w:r>
        <w:t>securities</w:t>
      </w:r>
      <w:r>
        <w:rPr>
          <w:spacing w:val="-12"/>
        </w:rPr>
        <w:t xml:space="preserve"> </w:t>
      </w:r>
      <w:r>
        <w:t>traded over-the-counter, foreign issuers, warrants, corporate debt securities, commercial paper, certificates of deposit, municipal securities, mutual fund shares, insurance products (including variable annuities and life insurance), ETFs (exchange-traded funds), United States government securities, securities option contracts, structured notes, and oil and gas interests. Adviser can also provide investment advice on tax credit partnerships (including low income housing and/or oil and gas), REITs (real estate investment trusts), CMOs (collateralized mortgage obligations), venture capital holdings, and hedge funds. This might not be an all- inclusive</w:t>
      </w:r>
      <w:r>
        <w:rPr>
          <w:spacing w:val="-7"/>
        </w:rPr>
        <w:t xml:space="preserve"> </w:t>
      </w:r>
      <w:r>
        <w:t>list.</w:t>
      </w:r>
    </w:p>
    <w:p w14:paraId="3A343375" w14:textId="77777777" w:rsidR="00207CBB" w:rsidRDefault="00207CBB">
      <w:pPr>
        <w:pStyle w:val="BodyText"/>
        <w:spacing w:before="10"/>
        <w:rPr>
          <w:sz w:val="23"/>
        </w:rPr>
      </w:pPr>
    </w:p>
    <w:p w14:paraId="7FA6D27C" w14:textId="77777777" w:rsidR="00207CBB" w:rsidRDefault="007729F9">
      <w:pPr>
        <w:pStyle w:val="BodyText"/>
        <w:ind w:firstLine="230"/>
        <w:rPr>
          <w:b/>
          <w:u w:val="single"/>
        </w:rPr>
      </w:pPr>
      <w:r>
        <w:rPr>
          <w:b/>
          <w:u w:val="single"/>
        </w:rPr>
        <w:t>Retirement Accounts</w:t>
      </w:r>
    </w:p>
    <w:p w14:paraId="3DE5EE16" w14:textId="77777777" w:rsidR="00207CBB" w:rsidRDefault="00207CBB">
      <w:pPr>
        <w:pStyle w:val="BodyText"/>
      </w:pPr>
    </w:p>
    <w:p w14:paraId="38EB9264" w14:textId="77777777" w:rsidR="00207CBB" w:rsidRDefault="007729F9">
      <w:pPr>
        <w:pStyle w:val="BodyText"/>
        <w:spacing w:before="2"/>
        <w:ind w:left="234" w:right="344"/>
      </w:pPr>
      <w:r>
        <w:t>When we provide investment advice to you regarding your retirement plan account or individual retirement account, we are fiduciaries within the meaning of Title I of the Employee Retirement Income Security Act and/or the Internal Revenue Code, as applicable, which are laws governing retirement accounts. The way we make money creates some conflicts</w:t>
      </w:r>
      <w:r>
        <w:rPr>
          <w:spacing w:val="-14"/>
        </w:rPr>
        <w:t xml:space="preserve"> </w:t>
      </w:r>
      <w:r>
        <w:t>with</w:t>
      </w:r>
      <w:r>
        <w:rPr>
          <w:spacing w:val="-10"/>
        </w:rPr>
        <w:t xml:space="preserve"> </w:t>
      </w:r>
      <w:r>
        <w:t>your</w:t>
      </w:r>
      <w:r>
        <w:rPr>
          <w:spacing w:val="-11"/>
        </w:rPr>
        <w:t xml:space="preserve"> </w:t>
      </w:r>
      <w:r>
        <w:t>interests,</w:t>
      </w:r>
      <w:r>
        <w:rPr>
          <w:spacing w:val="-9"/>
        </w:rPr>
        <w:t xml:space="preserve"> </w:t>
      </w:r>
      <w:r>
        <w:t>so</w:t>
      </w:r>
      <w:r>
        <w:rPr>
          <w:spacing w:val="-10"/>
        </w:rPr>
        <w:t xml:space="preserve"> </w:t>
      </w:r>
      <w:r>
        <w:t>we</w:t>
      </w:r>
      <w:r>
        <w:rPr>
          <w:spacing w:val="-14"/>
        </w:rPr>
        <w:t xml:space="preserve"> </w:t>
      </w:r>
      <w:r>
        <w:t>operate</w:t>
      </w:r>
      <w:r>
        <w:rPr>
          <w:spacing w:val="-9"/>
        </w:rPr>
        <w:t xml:space="preserve"> </w:t>
      </w:r>
      <w:r>
        <w:t>under</w:t>
      </w:r>
      <w:r>
        <w:rPr>
          <w:spacing w:val="-11"/>
        </w:rPr>
        <w:t xml:space="preserve"> </w:t>
      </w:r>
      <w:r>
        <w:t>a</w:t>
      </w:r>
      <w:r>
        <w:rPr>
          <w:spacing w:val="-14"/>
        </w:rPr>
        <w:t xml:space="preserve"> </w:t>
      </w:r>
      <w:r>
        <w:t>fiduciary</w:t>
      </w:r>
      <w:r>
        <w:rPr>
          <w:spacing w:val="-8"/>
        </w:rPr>
        <w:t xml:space="preserve"> </w:t>
      </w:r>
      <w:r>
        <w:t>standard</w:t>
      </w:r>
      <w:r>
        <w:rPr>
          <w:spacing w:val="-11"/>
        </w:rPr>
        <w:t xml:space="preserve"> </w:t>
      </w:r>
      <w:r>
        <w:t>that</w:t>
      </w:r>
      <w:r>
        <w:rPr>
          <w:spacing w:val="-12"/>
        </w:rPr>
        <w:t xml:space="preserve"> </w:t>
      </w:r>
      <w:r>
        <w:t>requires</w:t>
      </w:r>
      <w:r>
        <w:rPr>
          <w:spacing w:val="-10"/>
        </w:rPr>
        <w:t xml:space="preserve"> </w:t>
      </w:r>
      <w:r>
        <w:t>us</w:t>
      </w:r>
      <w:r>
        <w:rPr>
          <w:spacing w:val="-14"/>
        </w:rPr>
        <w:t xml:space="preserve"> </w:t>
      </w:r>
      <w:r>
        <w:t>to</w:t>
      </w:r>
      <w:r>
        <w:rPr>
          <w:spacing w:val="-5"/>
        </w:rPr>
        <w:t xml:space="preserve"> </w:t>
      </w:r>
      <w:r>
        <w:t>act in your best interest and not put our interests ahead of</w:t>
      </w:r>
      <w:r>
        <w:rPr>
          <w:spacing w:val="-9"/>
        </w:rPr>
        <w:t xml:space="preserve"> </w:t>
      </w:r>
      <w:r>
        <w:t>yours.</w:t>
      </w:r>
    </w:p>
    <w:p w14:paraId="405BDC59" w14:textId="77777777" w:rsidR="00207CBB" w:rsidRDefault="00207CBB">
      <w:pPr>
        <w:pStyle w:val="BodyText"/>
        <w:spacing w:before="11"/>
        <w:rPr>
          <w:sz w:val="23"/>
        </w:rPr>
      </w:pPr>
    </w:p>
    <w:p w14:paraId="1F2109E4" w14:textId="77777777" w:rsidR="00207CBB" w:rsidRDefault="007729F9">
      <w:pPr>
        <w:pStyle w:val="BodyText"/>
        <w:ind w:left="234"/>
      </w:pPr>
      <w:r>
        <w:t>As a Fiduciary, we must:</w:t>
      </w:r>
    </w:p>
    <w:p w14:paraId="51853536" w14:textId="77777777" w:rsidR="00207CBB" w:rsidRDefault="00207CBB">
      <w:pPr>
        <w:pStyle w:val="BodyText"/>
        <w:ind w:left="234"/>
      </w:pPr>
    </w:p>
    <w:p w14:paraId="7E573A18" w14:textId="77777777" w:rsidR="00207CBB" w:rsidRDefault="007729F9">
      <w:pPr>
        <w:pStyle w:val="ListParagraph"/>
        <w:numPr>
          <w:ilvl w:val="0"/>
          <w:numId w:val="4"/>
        </w:numPr>
        <w:tabs>
          <w:tab w:val="left" w:pos="955"/>
          <w:tab w:val="left" w:pos="956"/>
        </w:tabs>
        <w:ind w:right="705"/>
        <w:rPr>
          <w:sz w:val="24"/>
        </w:rPr>
      </w:pPr>
      <w:r>
        <w:rPr>
          <w:rFonts w:ascii="Cambria Math" w:hAnsi="Cambria Math"/>
          <w:sz w:val="24"/>
        </w:rPr>
        <w:t>Meet a professional standard of care when making investment recommendations (give prudent</w:t>
      </w:r>
      <w:r>
        <w:rPr>
          <w:rFonts w:ascii="Cambria Math" w:hAnsi="Cambria Math"/>
          <w:spacing w:val="-4"/>
          <w:sz w:val="24"/>
        </w:rPr>
        <w:t xml:space="preserve"> </w:t>
      </w:r>
      <w:r>
        <w:rPr>
          <w:rFonts w:ascii="Cambria Math" w:hAnsi="Cambria Math"/>
          <w:sz w:val="24"/>
        </w:rPr>
        <w:t>advice);</w:t>
      </w:r>
    </w:p>
    <w:p w14:paraId="735CB6FB" w14:textId="77777777" w:rsidR="00207CBB" w:rsidRDefault="00207CBB">
      <w:pPr>
        <w:pStyle w:val="ListParagraph"/>
        <w:tabs>
          <w:tab w:val="left" w:pos="955"/>
          <w:tab w:val="left" w:pos="956"/>
        </w:tabs>
        <w:ind w:left="955" w:right="705" w:firstLine="0"/>
        <w:rPr>
          <w:sz w:val="24"/>
        </w:rPr>
      </w:pPr>
    </w:p>
    <w:p w14:paraId="46E4BC96" w14:textId="77777777" w:rsidR="00207CBB" w:rsidRDefault="007729F9">
      <w:pPr>
        <w:pStyle w:val="ListParagraph"/>
        <w:numPr>
          <w:ilvl w:val="0"/>
          <w:numId w:val="4"/>
        </w:numPr>
        <w:tabs>
          <w:tab w:val="left" w:pos="955"/>
          <w:tab w:val="left" w:pos="956"/>
        </w:tabs>
        <w:ind w:right="755"/>
        <w:rPr>
          <w:rFonts w:ascii="Cambria Math" w:hAnsi="Cambria Math"/>
          <w:sz w:val="24"/>
        </w:rPr>
      </w:pPr>
      <w:r>
        <w:rPr>
          <w:rFonts w:ascii="Cambria Math" w:hAnsi="Cambria Math"/>
          <w:sz w:val="24"/>
        </w:rPr>
        <w:lastRenderedPageBreak/>
        <w:t>Never put our financial interests ahead of yours when making</w:t>
      </w:r>
      <w:r>
        <w:rPr>
          <w:rFonts w:ascii="Cambria Math" w:hAnsi="Cambria Math"/>
          <w:spacing w:val="-34"/>
          <w:sz w:val="24"/>
        </w:rPr>
        <w:t xml:space="preserve"> </w:t>
      </w:r>
      <w:r>
        <w:rPr>
          <w:rFonts w:ascii="Cambria Math" w:hAnsi="Cambria Math"/>
          <w:sz w:val="24"/>
        </w:rPr>
        <w:t>recommendations (give loyal</w:t>
      </w:r>
      <w:r>
        <w:rPr>
          <w:rFonts w:ascii="Cambria Math" w:hAnsi="Cambria Math"/>
          <w:spacing w:val="-3"/>
          <w:sz w:val="24"/>
        </w:rPr>
        <w:t xml:space="preserve"> </w:t>
      </w:r>
      <w:r>
        <w:rPr>
          <w:rFonts w:ascii="Cambria Math" w:hAnsi="Cambria Math"/>
          <w:sz w:val="24"/>
        </w:rPr>
        <w:t>advice);</w:t>
      </w:r>
    </w:p>
    <w:p w14:paraId="502394A4" w14:textId="77777777" w:rsidR="00207CBB" w:rsidRDefault="007729F9">
      <w:pPr>
        <w:pStyle w:val="ListParagraph"/>
        <w:numPr>
          <w:ilvl w:val="0"/>
          <w:numId w:val="4"/>
        </w:numPr>
        <w:tabs>
          <w:tab w:val="left" w:pos="955"/>
          <w:tab w:val="left" w:pos="956"/>
        </w:tabs>
        <w:spacing w:line="294" w:lineRule="exact"/>
        <w:rPr>
          <w:rFonts w:ascii="Cambria Math" w:hAnsi="Cambria Math"/>
          <w:sz w:val="24"/>
        </w:rPr>
      </w:pPr>
      <w:r>
        <w:rPr>
          <w:rFonts w:ascii="Cambria Math" w:hAnsi="Cambria Math"/>
          <w:sz w:val="24"/>
        </w:rPr>
        <w:t>Avoid misleading statements about conflicts of interest, fees, and</w:t>
      </w:r>
      <w:r>
        <w:rPr>
          <w:rFonts w:ascii="Cambria Math" w:hAnsi="Cambria Math"/>
          <w:spacing w:val="-17"/>
          <w:sz w:val="24"/>
        </w:rPr>
        <w:t xml:space="preserve"> </w:t>
      </w:r>
      <w:r>
        <w:rPr>
          <w:rFonts w:ascii="Cambria Math" w:hAnsi="Cambria Math"/>
          <w:sz w:val="24"/>
        </w:rPr>
        <w:t>investments;</w:t>
      </w:r>
    </w:p>
    <w:p w14:paraId="000A42BB" w14:textId="77777777" w:rsidR="00207CBB" w:rsidRDefault="007729F9">
      <w:pPr>
        <w:pStyle w:val="ListParagraph"/>
        <w:numPr>
          <w:ilvl w:val="0"/>
          <w:numId w:val="4"/>
        </w:numPr>
        <w:tabs>
          <w:tab w:val="left" w:pos="955"/>
          <w:tab w:val="left" w:pos="956"/>
        </w:tabs>
        <w:spacing w:before="77"/>
        <w:ind w:right="854"/>
        <w:rPr>
          <w:rFonts w:ascii="Cambria Math" w:hAnsi="Cambria Math"/>
          <w:sz w:val="24"/>
        </w:rPr>
      </w:pPr>
      <w:r>
        <w:rPr>
          <w:rFonts w:ascii="Cambria Math" w:hAnsi="Cambria Math"/>
          <w:sz w:val="24"/>
        </w:rPr>
        <w:t>Follow</w:t>
      </w:r>
      <w:r>
        <w:rPr>
          <w:rFonts w:ascii="Cambria Math" w:hAnsi="Cambria Math"/>
          <w:spacing w:val="-1"/>
          <w:sz w:val="24"/>
        </w:rPr>
        <w:t xml:space="preserve"> </w:t>
      </w:r>
      <w:r>
        <w:rPr>
          <w:rFonts w:ascii="Cambria Math" w:hAnsi="Cambria Math"/>
          <w:sz w:val="24"/>
        </w:rPr>
        <w:t>policies</w:t>
      </w:r>
      <w:r>
        <w:rPr>
          <w:rFonts w:ascii="Cambria Math" w:hAnsi="Cambria Math"/>
          <w:spacing w:val="-5"/>
          <w:sz w:val="24"/>
        </w:rPr>
        <w:t xml:space="preserve"> </w:t>
      </w:r>
      <w:r>
        <w:rPr>
          <w:rFonts w:ascii="Cambria Math" w:hAnsi="Cambria Math"/>
          <w:sz w:val="24"/>
        </w:rPr>
        <w:t>and</w:t>
      </w:r>
      <w:r>
        <w:rPr>
          <w:rFonts w:ascii="Cambria Math" w:hAnsi="Cambria Math"/>
          <w:spacing w:val="-1"/>
          <w:sz w:val="24"/>
        </w:rPr>
        <w:t xml:space="preserve"> </w:t>
      </w:r>
      <w:r>
        <w:rPr>
          <w:rFonts w:ascii="Cambria Math" w:hAnsi="Cambria Math"/>
          <w:sz w:val="24"/>
        </w:rPr>
        <w:t>procedures</w:t>
      </w:r>
      <w:r>
        <w:rPr>
          <w:rFonts w:ascii="Cambria Math" w:hAnsi="Cambria Math"/>
          <w:spacing w:val="-5"/>
          <w:sz w:val="24"/>
        </w:rPr>
        <w:t xml:space="preserve"> </w:t>
      </w:r>
      <w:r>
        <w:rPr>
          <w:rFonts w:ascii="Cambria Math" w:hAnsi="Cambria Math"/>
          <w:sz w:val="24"/>
        </w:rPr>
        <w:t>designed</w:t>
      </w:r>
      <w:r>
        <w:rPr>
          <w:rFonts w:ascii="Cambria Math" w:hAnsi="Cambria Math"/>
          <w:spacing w:val="-1"/>
          <w:sz w:val="24"/>
        </w:rPr>
        <w:t xml:space="preserve"> </w:t>
      </w:r>
      <w:r>
        <w:rPr>
          <w:rFonts w:ascii="Cambria Math" w:hAnsi="Cambria Math"/>
          <w:sz w:val="24"/>
        </w:rPr>
        <w:t>to ensure</w:t>
      </w:r>
      <w:r>
        <w:rPr>
          <w:rFonts w:ascii="Cambria Math" w:hAnsi="Cambria Math"/>
          <w:spacing w:val="-4"/>
          <w:sz w:val="24"/>
        </w:rPr>
        <w:t xml:space="preserve"> </w:t>
      </w:r>
      <w:r>
        <w:rPr>
          <w:rFonts w:ascii="Cambria Math" w:hAnsi="Cambria Math"/>
          <w:sz w:val="24"/>
        </w:rPr>
        <w:t>that</w:t>
      </w:r>
      <w:r>
        <w:rPr>
          <w:rFonts w:ascii="Cambria Math" w:hAnsi="Cambria Math"/>
          <w:spacing w:val="-3"/>
          <w:sz w:val="24"/>
        </w:rPr>
        <w:t xml:space="preserve"> </w:t>
      </w:r>
      <w:r>
        <w:rPr>
          <w:rFonts w:ascii="Cambria Math" w:hAnsi="Cambria Math"/>
          <w:sz w:val="24"/>
        </w:rPr>
        <w:t>we</w:t>
      </w:r>
      <w:r>
        <w:rPr>
          <w:rFonts w:ascii="Cambria Math" w:hAnsi="Cambria Math"/>
          <w:spacing w:val="-4"/>
          <w:sz w:val="24"/>
        </w:rPr>
        <w:t xml:space="preserve"> </w:t>
      </w:r>
      <w:r>
        <w:rPr>
          <w:rFonts w:ascii="Cambria Math" w:hAnsi="Cambria Math"/>
          <w:sz w:val="24"/>
        </w:rPr>
        <w:t>give</w:t>
      </w:r>
      <w:r>
        <w:rPr>
          <w:rFonts w:ascii="Cambria Math" w:hAnsi="Cambria Math"/>
          <w:spacing w:val="-4"/>
          <w:sz w:val="24"/>
        </w:rPr>
        <w:t xml:space="preserve"> </w:t>
      </w:r>
      <w:r>
        <w:rPr>
          <w:rFonts w:ascii="Cambria Math" w:hAnsi="Cambria Math"/>
          <w:sz w:val="24"/>
        </w:rPr>
        <w:t>advice</w:t>
      </w:r>
      <w:r>
        <w:rPr>
          <w:rFonts w:ascii="Cambria Math" w:hAnsi="Cambria Math"/>
          <w:spacing w:val="-4"/>
          <w:sz w:val="24"/>
        </w:rPr>
        <w:t xml:space="preserve"> </w:t>
      </w:r>
      <w:r>
        <w:rPr>
          <w:rFonts w:ascii="Cambria Math" w:hAnsi="Cambria Math"/>
          <w:sz w:val="24"/>
        </w:rPr>
        <w:t>that</w:t>
      </w:r>
      <w:r>
        <w:rPr>
          <w:rFonts w:ascii="Cambria Math" w:hAnsi="Cambria Math"/>
          <w:spacing w:val="-3"/>
          <w:sz w:val="24"/>
        </w:rPr>
        <w:t xml:space="preserve"> </w:t>
      </w:r>
      <w:r>
        <w:rPr>
          <w:rFonts w:ascii="Cambria Math" w:hAnsi="Cambria Math"/>
          <w:sz w:val="24"/>
        </w:rPr>
        <w:t>is</w:t>
      </w:r>
      <w:r>
        <w:rPr>
          <w:rFonts w:ascii="Cambria Math" w:hAnsi="Cambria Math"/>
          <w:spacing w:val="-4"/>
          <w:sz w:val="24"/>
        </w:rPr>
        <w:t xml:space="preserve"> </w:t>
      </w:r>
      <w:r>
        <w:rPr>
          <w:rFonts w:ascii="Cambria Math" w:hAnsi="Cambria Math"/>
          <w:sz w:val="24"/>
        </w:rPr>
        <w:t>in your best</w:t>
      </w:r>
      <w:r>
        <w:rPr>
          <w:rFonts w:ascii="Cambria Math" w:hAnsi="Cambria Math"/>
          <w:spacing w:val="-1"/>
          <w:sz w:val="24"/>
        </w:rPr>
        <w:t xml:space="preserve"> </w:t>
      </w:r>
      <w:r>
        <w:rPr>
          <w:rFonts w:ascii="Cambria Math" w:hAnsi="Cambria Math"/>
          <w:sz w:val="24"/>
        </w:rPr>
        <w:t>interest</w:t>
      </w:r>
    </w:p>
    <w:p w14:paraId="24AEA9AC" w14:textId="77777777" w:rsidR="00207CBB" w:rsidRDefault="007729F9">
      <w:pPr>
        <w:pStyle w:val="ListParagraph"/>
        <w:numPr>
          <w:ilvl w:val="0"/>
          <w:numId w:val="4"/>
        </w:numPr>
        <w:tabs>
          <w:tab w:val="left" w:pos="955"/>
          <w:tab w:val="left" w:pos="956"/>
        </w:tabs>
        <w:spacing w:before="77"/>
        <w:ind w:right="854"/>
        <w:rPr>
          <w:rFonts w:ascii="Cambria Math" w:hAnsi="Cambria Math"/>
          <w:sz w:val="24"/>
        </w:rPr>
      </w:pPr>
      <w:r>
        <w:rPr>
          <w:rFonts w:ascii="Cambria Math" w:hAnsi="Cambria Math"/>
          <w:sz w:val="24"/>
        </w:rPr>
        <w:t>Charge no more than is reasonable for our services;</w:t>
      </w:r>
      <w:r>
        <w:rPr>
          <w:rFonts w:ascii="Cambria Math" w:hAnsi="Cambria Math"/>
          <w:spacing w:val="-6"/>
          <w:sz w:val="24"/>
        </w:rPr>
        <w:t xml:space="preserve"> </w:t>
      </w:r>
      <w:r>
        <w:rPr>
          <w:rFonts w:ascii="Cambria Math" w:hAnsi="Cambria Math"/>
          <w:sz w:val="24"/>
        </w:rPr>
        <w:t>and</w:t>
      </w:r>
    </w:p>
    <w:p w14:paraId="5BAFE5A1" w14:textId="77777777" w:rsidR="00207CBB" w:rsidRDefault="007729F9">
      <w:pPr>
        <w:pStyle w:val="ListParagraph"/>
        <w:numPr>
          <w:ilvl w:val="0"/>
          <w:numId w:val="4"/>
        </w:numPr>
        <w:tabs>
          <w:tab w:val="left" w:pos="955"/>
          <w:tab w:val="left" w:pos="956"/>
        </w:tabs>
        <w:spacing w:before="3"/>
        <w:rPr>
          <w:rFonts w:ascii="Cambria Math" w:hAnsi="Cambria Math"/>
          <w:sz w:val="24"/>
        </w:rPr>
      </w:pPr>
      <w:r>
        <w:rPr>
          <w:rFonts w:ascii="Cambria Math" w:hAnsi="Cambria Math"/>
          <w:sz w:val="24"/>
        </w:rPr>
        <w:t>Give you basic information about conflicts of</w:t>
      </w:r>
      <w:r>
        <w:rPr>
          <w:rFonts w:ascii="Cambria Math" w:hAnsi="Cambria Math"/>
          <w:spacing w:val="-10"/>
          <w:sz w:val="24"/>
        </w:rPr>
        <w:t xml:space="preserve"> </w:t>
      </w:r>
      <w:r>
        <w:rPr>
          <w:rFonts w:ascii="Cambria Math" w:hAnsi="Cambria Math"/>
          <w:sz w:val="24"/>
        </w:rPr>
        <w:t>interest</w:t>
      </w:r>
    </w:p>
    <w:p w14:paraId="0609372B" w14:textId="77777777" w:rsidR="00207CBB" w:rsidRDefault="00207CBB">
      <w:pPr>
        <w:pStyle w:val="BodyText"/>
        <w:spacing w:before="11"/>
        <w:rPr>
          <w:sz w:val="23"/>
        </w:rPr>
      </w:pPr>
    </w:p>
    <w:p w14:paraId="2A9632C1" w14:textId="77777777" w:rsidR="00207CBB" w:rsidRDefault="007729F9">
      <w:pPr>
        <w:pStyle w:val="BodyText"/>
        <w:ind w:left="302" w:right="350"/>
      </w:pPr>
      <w:r>
        <w:t>A recommendation to roll over your assets from a retirement account to an account to be managed by the Adviser creates a conflict of interest, as we will earn additional advisory fees as a result of the roll over. There is no obligation for you to roll over your retirement account to an account managed by the Adviser.</w:t>
      </w:r>
    </w:p>
    <w:p w14:paraId="5F25F08D" w14:textId="77777777" w:rsidR="00207CBB" w:rsidRDefault="00207CBB">
      <w:pPr>
        <w:pStyle w:val="BodyText"/>
        <w:spacing w:before="5"/>
      </w:pPr>
    </w:p>
    <w:p w14:paraId="4D8A3447" w14:textId="77777777" w:rsidR="00207CBB" w:rsidRDefault="007729F9">
      <w:pPr>
        <w:pStyle w:val="BodyText"/>
        <w:ind w:firstLine="230"/>
        <w:rPr>
          <w:b/>
          <w:u w:val="single"/>
        </w:rPr>
      </w:pPr>
      <w:r>
        <w:rPr>
          <w:b/>
          <w:u w:val="single"/>
        </w:rPr>
        <w:t>General Information</w:t>
      </w:r>
    </w:p>
    <w:p w14:paraId="4A046694" w14:textId="77777777" w:rsidR="00207CBB" w:rsidRDefault="00207CBB">
      <w:pPr>
        <w:pStyle w:val="BodyText"/>
        <w:ind w:firstLine="230"/>
        <w:rPr>
          <w:b/>
          <w:u w:val="single"/>
        </w:rPr>
      </w:pPr>
    </w:p>
    <w:p w14:paraId="25E00CFD" w14:textId="77777777" w:rsidR="00207CBB" w:rsidRDefault="007729F9">
      <w:pPr>
        <w:pStyle w:val="BodyText"/>
        <w:ind w:left="230" w:right="355"/>
      </w:pPr>
      <w:r>
        <w:t>For all services offered by Adviser, the same or different services could be offered by other firms at the same, higher, or lower fees.</w:t>
      </w:r>
    </w:p>
    <w:p w14:paraId="1F5F1BDB" w14:textId="77777777" w:rsidR="00207CBB" w:rsidRDefault="00207CBB">
      <w:pPr>
        <w:pStyle w:val="BodyText"/>
        <w:spacing w:before="11"/>
        <w:rPr>
          <w:sz w:val="23"/>
        </w:rPr>
      </w:pPr>
    </w:p>
    <w:p w14:paraId="1EBC6126" w14:textId="77777777" w:rsidR="00207CBB" w:rsidRDefault="007729F9">
      <w:pPr>
        <w:pStyle w:val="BodyText"/>
        <w:spacing w:line="242" w:lineRule="auto"/>
        <w:ind w:left="230" w:right="349"/>
      </w:pPr>
      <w:r>
        <w:t>In addition, Adviser can recommend Separately Managed Accounts or 529 accounts (See Item 5, Fees and Compensation Page 6 for further details).</w:t>
      </w:r>
    </w:p>
    <w:p w14:paraId="3BE7B84F" w14:textId="77777777" w:rsidR="00207CBB" w:rsidRDefault="00207CBB">
      <w:pPr>
        <w:pStyle w:val="BodyText"/>
        <w:spacing w:before="7"/>
        <w:rPr>
          <w:sz w:val="23"/>
        </w:rPr>
      </w:pPr>
    </w:p>
    <w:p w14:paraId="43968FCE" w14:textId="77777777" w:rsidR="00207CBB" w:rsidRDefault="007729F9">
      <w:pPr>
        <w:pStyle w:val="BodyText"/>
        <w:ind w:left="210" w:right="218"/>
      </w:pPr>
      <w:r>
        <w:t>A limited power of attorney is provided by client to allow discretionary trading authority by Adviser (see Item 16, Investment Discretion, Page 15 for further details). In most cases, discretion will be utilized. As of December 31, 2024, we managed $2,469,604,895 in client assets</w:t>
      </w:r>
      <w:r>
        <w:rPr>
          <w:spacing w:val="-9"/>
        </w:rPr>
        <w:t xml:space="preserve"> </w:t>
      </w:r>
      <w:r>
        <w:t>on</w:t>
      </w:r>
      <w:r>
        <w:rPr>
          <w:spacing w:val="-11"/>
        </w:rPr>
        <w:t xml:space="preserve"> </w:t>
      </w:r>
      <w:r>
        <w:t>a</w:t>
      </w:r>
      <w:r>
        <w:rPr>
          <w:spacing w:val="-12"/>
        </w:rPr>
        <w:t xml:space="preserve"> </w:t>
      </w:r>
      <w:r>
        <w:t>discretionary</w:t>
      </w:r>
      <w:r>
        <w:rPr>
          <w:spacing w:val="-12"/>
        </w:rPr>
        <w:t xml:space="preserve"> </w:t>
      </w:r>
      <w:r>
        <w:t>basis</w:t>
      </w:r>
      <w:r>
        <w:rPr>
          <w:spacing w:val="-7"/>
        </w:rPr>
        <w:t xml:space="preserve"> </w:t>
      </w:r>
      <w:r>
        <w:t>and</w:t>
      </w:r>
      <w:r>
        <w:rPr>
          <w:spacing w:val="-5"/>
        </w:rPr>
        <w:t xml:space="preserve"> </w:t>
      </w:r>
      <w:r>
        <w:t xml:space="preserve">$1,120,574 </w:t>
      </w:r>
      <w:r>
        <w:rPr>
          <w:spacing w:val="-3"/>
        </w:rPr>
        <w:t>in</w:t>
      </w:r>
      <w:r>
        <w:rPr>
          <w:spacing w:val="-11"/>
        </w:rPr>
        <w:t xml:space="preserve"> </w:t>
      </w:r>
      <w:r>
        <w:t>client</w:t>
      </w:r>
      <w:r>
        <w:rPr>
          <w:spacing w:val="-9"/>
        </w:rPr>
        <w:t xml:space="preserve"> </w:t>
      </w:r>
      <w:r>
        <w:t>assets</w:t>
      </w:r>
      <w:r>
        <w:rPr>
          <w:spacing w:val="-13"/>
        </w:rPr>
        <w:t xml:space="preserve"> </w:t>
      </w:r>
      <w:r>
        <w:t>on</w:t>
      </w:r>
      <w:r>
        <w:rPr>
          <w:spacing w:val="-5"/>
        </w:rPr>
        <w:t xml:space="preserve"> </w:t>
      </w:r>
      <w:r>
        <w:t>a</w:t>
      </w:r>
      <w:r>
        <w:rPr>
          <w:spacing w:val="-13"/>
        </w:rPr>
        <w:t xml:space="preserve"> </w:t>
      </w:r>
      <w:r>
        <w:t>non-discretionary</w:t>
      </w:r>
      <w:r>
        <w:rPr>
          <w:spacing w:val="-11"/>
        </w:rPr>
        <w:t xml:space="preserve"> </w:t>
      </w:r>
      <w:r>
        <w:t>basis</w:t>
      </w:r>
      <w:r>
        <w:rPr>
          <w:spacing w:val="-13"/>
        </w:rPr>
        <w:t xml:space="preserve"> </w:t>
      </w:r>
      <w:r>
        <w:t>for total assets under management of $2,470,725,469. The Client will receive confirmations and statements showing all trading activity in the account(s).</w:t>
      </w:r>
    </w:p>
    <w:p w14:paraId="0217BB44" w14:textId="77777777" w:rsidR="00207CBB" w:rsidRDefault="00207CBB">
      <w:pPr>
        <w:rPr>
          <w:sz w:val="24"/>
          <w:szCs w:val="24"/>
        </w:rPr>
      </w:pPr>
    </w:p>
    <w:p w14:paraId="6377C29E" w14:textId="77777777" w:rsidR="00207CBB" w:rsidRDefault="007729F9">
      <w:pPr>
        <w:pStyle w:val="Heading1"/>
        <w:ind w:left="0" w:firstLine="210"/>
        <w:jc w:val="left"/>
      </w:pPr>
      <w:bookmarkStart w:id="6" w:name="_bookmark4"/>
      <w:bookmarkStart w:id="7" w:name="_Toc201066077"/>
      <w:bookmarkEnd w:id="6"/>
      <w:r>
        <w:t>Item 5: Fees and Compensation</w:t>
      </w:r>
      <w:bookmarkEnd w:id="7"/>
    </w:p>
    <w:p w14:paraId="047219F8" w14:textId="77777777" w:rsidR="00207CBB" w:rsidRDefault="00207CBB">
      <w:pPr>
        <w:spacing w:before="1"/>
        <w:ind w:left="230"/>
        <w:rPr>
          <w:b/>
          <w:sz w:val="28"/>
          <w:u w:val="single"/>
        </w:rPr>
      </w:pPr>
    </w:p>
    <w:p w14:paraId="285AFF29" w14:textId="77777777" w:rsidR="00207CBB" w:rsidRDefault="007729F9">
      <w:pPr>
        <w:pStyle w:val="BodyText"/>
        <w:ind w:firstLine="210"/>
        <w:rPr>
          <w:b/>
          <w:u w:val="single"/>
        </w:rPr>
      </w:pPr>
      <w:r>
        <w:rPr>
          <w:b/>
          <w:u w:val="single"/>
        </w:rPr>
        <w:t>Managing Investment Advisory Accounts</w:t>
      </w:r>
    </w:p>
    <w:p w14:paraId="45FB86FC" w14:textId="77777777" w:rsidR="00207CBB" w:rsidRDefault="00207CBB">
      <w:pPr>
        <w:pStyle w:val="BodyText"/>
        <w:ind w:firstLine="210"/>
        <w:rPr>
          <w:b/>
          <w:u w:val="single"/>
        </w:rPr>
      </w:pPr>
    </w:p>
    <w:p w14:paraId="5D764923" w14:textId="77777777" w:rsidR="00207CBB" w:rsidRDefault="007729F9">
      <w:pPr>
        <w:pStyle w:val="BodyText"/>
        <w:spacing w:before="3"/>
        <w:ind w:left="230" w:right="338"/>
      </w:pPr>
      <w:r>
        <w:t xml:space="preserve">Investment advisory fees charged are based </w:t>
      </w:r>
      <w:r>
        <w:rPr>
          <w:spacing w:val="-4"/>
        </w:rPr>
        <w:t>on</w:t>
      </w:r>
      <w:r>
        <w:rPr>
          <w:spacing w:val="-26"/>
        </w:rPr>
        <w:t xml:space="preserve"> </w:t>
      </w:r>
      <w:r>
        <w:t>assets</w:t>
      </w:r>
      <w:r>
        <w:rPr>
          <w:spacing w:val="-14"/>
        </w:rPr>
        <w:t xml:space="preserve"> </w:t>
      </w:r>
      <w:r>
        <w:t>under</w:t>
      </w:r>
      <w:r>
        <w:rPr>
          <w:spacing w:val="-10"/>
        </w:rPr>
        <w:t xml:space="preserve"> </w:t>
      </w:r>
      <w:r>
        <w:t>management,</w:t>
      </w:r>
      <w:r>
        <w:rPr>
          <w:spacing w:val="-13"/>
        </w:rPr>
        <w:t xml:space="preserve"> </w:t>
      </w:r>
      <w:r>
        <w:t>paid</w:t>
      </w:r>
      <w:r>
        <w:rPr>
          <w:spacing w:val="-10"/>
        </w:rPr>
        <w:t xml:space="preserve"> </w:t>
      </w:r>
      <w:r>
        <w:t>quarterly</w:t>
      </w:r>
      <w:r>
        <w:rPr>
          <w:spacing w:val="-16"/>
        </w:rPr>
        <w:t xml:space="preserve"> </w:t>
      </w:r>
      <w:r>
        <w:t>in</w:t>
      </w:r>
      <w:r>
        <w:rPr>
          <w:spacing w:val="-13"/>
        </w:rPr>
        <w:t xml:space="preserve"> </w:t>
      </w:r>
      <w:r>
        <w:t>advance.</w:t>
      </w:r>
      <w:r>
        <w:rPr>
          <w:spacing w:val="23"/>
        </w:rPr>
        <w:t xml:space="preserve"> </w:t>
      </w:r>
      <w:r>
        <w:t>Payment</w:t>
      </w:r>
      <w:r>
        <w:rPr>
          <w:spacing w:val="-10"/>
        </w:rPr>
        <w:t xml:space="preserve"> </w:t>
      </w:r>
      <w:r>
        <w:t>of</w:t>
      </w:r>
      <w:r>
        <w:rPr>
          <w:spacing w:val="-14"/>
        </w:rPr>
        <w:t xml:space="preserve"> </w:t>
      </w:r>
      <w:r>
        <w:t>fees</w:t>
      </w:r>
      <w:r>
        <w:rPr>
          <w:spacing w:val="-14"/>
        </w:rPr>
        <w:t xml:space="preserve"> </w:t>
      </w:r>
      <w:r>
        <w:t>can</w:t>
      </w:r>
      <w:r>
        <w:rPr>
          <w:spacing w:val="-12"/>
        </w:rPr>
        <w:t xml:space="preserve"> </w:t>
      </w:r>
      <w:r>
        <w:t>be</w:t>
      </w:r>
      <w:r>
        <w:rPr>
          <w:spacing w:val="-15"/>
        </w:rPr>
        <w:t xml:space="preserve"> </w:t>
      </w:r>
      <w:r>
        <w:t>paid</w:t>
      </w:r>
      <w:r>
        <w:rPr>
          <w:spacing w:val="-10"/>
        </w:rPr>
        <w:t xml:space="preserve"> </w:t>
      </w:r>
      <w:r>
        <w:t>directly by</w:t>
      </w:r>
      <w:r>
        <w:rPr>
          <w:spacing w:val="-9"/>
        </w:rPr>
        <w:t xml:space="preserve"> </w:t>
      </w:r>
      <w:r>
        <w:t>the</w:t>
      </w:r>
      <w:r>
        <w:rPr>
          <w:spacing w:val="-10"/>
        </w:rPr>
        <w:t xml:space="preserve"> </w:t>
      </w:r>
      <w:r>
        <w:t>client,</w:t>
      </w:r>
      <w:r>
        <w:rPr>
          <w:spacing w:val="-9"/>
        </w:rPr>
        <w:t xml:space="preserve"> </w:t>
      </w:r>
      <w:r>
        <w:t>or</w:t>
      </w:r>
      <w:r>
        <w:rPr>
          <w:spacing w:val="-7"/>
        </w:rPr>
        <w:t xml:space="preserve"> </w:t>
      </w:r>
      <w:r>
        <w:t>deducted</w:t>
      </w:r>
      <w:r>
        <w:rPr>
          <w:spacing w:val="-7"/>
        </w:rPr>
        <w:t xml:space="preserve"> directly </w:t>
      </w:r>
      <w:r>
        <w:t>from</w:t>
      </w:r>
      <w:r>
        <w:rPr>
          <w:spacing w:val="-7"/>
        </w:rPr>
        <w:t xml:space="preserve"> </w:t>
      </w:r>
      <w:r>
        <w:t>the</w:t>
      </w:r>
      <w:r>
        <w:rPr>
          <w:spacing w:val="-9"/>
        </w:rPr>
        <w:t xml:space="preserve"> </w:t>
      </w:r>
      <w:r>
        <w:t>client’s</w:t>
      </w:r>
      <w:r>
        <w:rPr>
          <w:spacing w:val="-11"/>
        </w:rPr>
        <w:t xml:space="preserve"> </w:t>
      </w:r>
      <w:r>
        <w:t>account(s).</w:t>
      </w:r>
      <w:r>
        <w:rPr>
          <w:spacing w:val="-10"/>
        </w:rPr>
        <w:t xml:space="preserve"> </w:t>
      </w:r>
      <w:r>
        <w:t>Fees</w:t>
      </w:r>
      <w:r>
        <w:rPr>
          <w:spacing w:val="-11"/>
        </w:rPr>
        <w:t xml:space="preserve"> </w:t>
      </w:r>
      <w:r>
        <w:t>are</w:t>
      </w:r>
      <w:r>
        <w:rPr>
          <w:spacing w:val="-9"/>
        </w:rPr>
        <w:t xml:space="preserve"> </w:t>
      </w:r>
      <w:r>
        <w:t>based on</w:t>
      </w:r>
      <w:r>
        <w:rPr>
          <w:spacing w:val="-11"/>
        </w:rPr>
        <w:t xml:space="preserve"> </w:t>
      </w:r>
      <w:r>
        <w:t>the</w:t>
      </w:r>
      <w:r>
        <w:rPr>
          <w:spacing w:val="-12"/>
        </w:rPr>
        <w:t xml:space="preserve"> </w:t>
      </w:r>
      <w:r>
        <w:t>market</w:t>
      </w:r>
      <w:r>
        <w:rPr>
          <w:spacing w:val="-11"/>
        </w:rPr>
        <w:t xml:space="preserve"> </w:t>
      </w:r>
      <w:r>
        <w:t>value</w:t>
      </w:r>
      <w:r>
        <w:rPr>
          <w:spacing w:val="-12"/>
        </w:rPr>
        <w:t xml:space="preserve"> </w:t>
      </w:r>
      <w:r>
        <w:t>of</w:t>
      </w:r>
      <w:r>
        <w:rPr>
          <w:spacing w:val="-11"/>
        </w:rPr>
        <w:t xml:space="preserve"> </w:t>
      </w:r>
      <w:r>
        <w:t>the</w:t>
      </w:r>
      <w:r>
        <w:rPr>
          <w:spacing w:val="-13"/>
        </w:rPr>
        <w:t xml:space="preserve"> </w:t>
      </w:r>
      <w:r>
        <w:t>portfolio</w:t>
      </w:r>
      <w:r>
        <w:rPr>
          <w:spacing w:val="-8"/>
        </w:rPr>
        <w:t xml:space="preserve"> </w:t>
      </w:r>
      <w:r>
        <w:t>on</w:t>
      </w:r>
      <w:r>
        <w:rPr>
          <w:spacing w:val="-10"/>
        </w:rPr>
        <w:t xml:space="preserve"> </w:t>
      </w:r>
      <w:r>
        <w:t>the</w:t>
      </w:r>
      <w:r>
        <w:rPr>
          <w:spacing w:val="-13"/>
        </w:rPr>
        <w:t xml:space="preserve"> </w:t>
      </w:r>
      <w:r>
        <w:t>last</w:t>
      </w:r>
      <w:r>
        <w:rPr>
          <w:spacing w:val="-10"/>
        </w:rPr>
        <w:t xml:space="preserve"> </w:t>
      </w:r>
      <w:r>
        <w:t>business</w:t>
      </w:r>
      <w:r>
        <w:rPr>
          <w:spacing w:val="-8"/>
        </w:rPr>
        <w:t xml:space="preserve"> </w:t>
      </w:r>
      <w:r>
        <w:t>day</w:t>
      </w:r>
      <w:r>
        <w:rPr>
          <w:spacing w:val="-8"/>
        </w:rPr>
        <w:t xml:space="preserve"> </w:t>
      </w:r>
      <w:r>
        <w:t>of</w:t>
      </w:r>
      <w:r>
        <w:rPr>
          <w:spacing w:val="-11"/>
        </w:rPr>
        <w:t xml:space="preserve"> </w:t>
      </w:r>
      <w:r>
        <w:t>the</w:t>
      </w:r>
      <w:r>
        <w:rPr>
          <w:spacing w:val="-12"/>
        </w:rPr>
        <w:t xml:space="preserve"> </w:t>
      </w:r>
      <w:r>
        <w:t>previous</w:t>
      </w:r>
      <w:r>
        <w:rPr>
          <w:spacing w:val="-13"/>
        </w:rPr>
        <w:t xml:space="preserve"> </w:t>
      </w:r>
      <w:r>
        <w:t>calendar</w:t>
      </w:r>
      <w:r>
        <w:rPr>
          <w:spacing w:val="-9"/>
        </w:rPr>
        <w:t xml:space="preserve"> </w:t>
      </w:r>
      <w:r>
        <w:t xml:space="preserve">quarter </w:t>
      </w:r>
      <w:r>
        <w:rPr>
          <w:spacing w:val="-4"/>
        </w:rPr>
        <w:t xml:space="preserve">or </w:t>
      </w:r>
      <w:r>
        <w:t xml:space="preserve">in the case of new accounts, the inception value. Fees are pro-rated for partial periods. </w:t>
      </w:r>
    </w:p>
    <w:p w14:paraId="1DE0AA85" w14:textId="77777777" w:rsidR="00207CBB" w:rsidRDefault="00207CBB">
      <w:pPr>
        <w:pStyle w:val="BodyText"/>
        <w:spacing w:before="3"/>
        <w:ind w:left="230" w:right="338"/>
      </w:pPr>
    </w:p>
    <w:p w14:paraId="4EFA6BE2" w14:textId="77777777" w:rsidR="00207CBB" w:rsidRDefault="007729F9">
      <w:pPr>
        <w:pStyle w:val="BodyText"/>
        <w:spacing w:before="1"/>
        <w:ind w:left="230" w:right="347"/>
      </w:pPr>
      <w:r>
        <w:t>This service can be terminated upon written notice by either party. In the</w:t>
      </w:r>
      <w:r>
        <w:rPr>
          <w:spacing w:val="-9"/>
        </w:rPr>
        <w:t xml:space="preserve"> </w:t>
      </w:r>
      <w:r>
        <w:t>event</w:t>
      </w:r>
      <w:r>
        <w:rPr>
          <w:spacing w:val="-6"/>
        </w:rPr>
        <w:t xml:space="preserve"> </w:t>
      </w:r>
      <w:r>
        <w:t>of</w:t>
      </w:r>
      <w:r>
        <w:rPr>
          <w:spacing w:val="-8"/>
        </w:rPr>
        <w:t xml:space="preserve"> </w:t>
      </w:r>
      <w:r>
        <w:t>termination,</w:t>
      </w:r>
      <w:r>
        <w:rPr>
          <w:spacing w:val="-7"/>
        </w:rPr>
        <w:t xml:space="preserve"> </w:t>
      </w:r>
      <w:r>
        <w:t>BFC</w:t>
      </w:r>
      <w:r>
        <w:rPr>
          <w:spacing w:val="-8"/>
        </w:rPr>
        <w:t xml:space="preserve"> </w:t>
      </w:r>
      <w:r>
        <w:t>shall</w:t>
      </w:r>
      <w:r>
        <w:rPr>
          <w:spacing w:val="-5"/>
        </w:rPr>
        <w:t xml:space="preserve"> </w:t>
      </w:r>
      <w:r>
        <w:t>refund</w:t>
      </w:r>
      <w:r>
        <w:rPr>
          <w:spacing w:val="-6"/>
        </w:rPr>
        <w:t xml:space="preserve"> </w:t>
      </w:r>
      <w:r>
        <w:t>any</w:t>
      </w:r>
      <w:r>
        <w:rPr>
          <w:spacing w:val="-7"/>
        </w:rPr>
        <w:t xml:space="preserve"> </w:t>
      </w:r>
      <w:r>
        <w:rPr>
          <w:spacing w:val="-3"/>
        </w:rPr>
        <w:t>fees</w:t>
      </w:r>
      <w:r>
        <w:rPr>
          <w:spacing w:val="-10"/>
        </w:rPr>
        <w:t xml:space="preserve"> </w:t>
      </w:r>
      <w:r>
        <w:t>for</w:t>
      </w:r>
      <w:r>
        <w:rPr>
          <w:spacing w:val="-5"/>
        </w:rPr>
        <w:t xml:space="preserve"> </w:t>
      </w:r>
      <w:r>
        <w:t>the</w:t>
      </w:r>
      <w:r>
        <w:rPr>
          <w:spacing w:val="-9"/>
        </w:rPr>
        <w:t xml:space="preserve"> </w:t>
      </w:r>
      <w:r>
        <w:t>remainder</w:t>
      </w:r>
      <w:r>
        <w:rPr>
          <w:spacing w:val="-5"/>
        </w:rPr>
        <w:t xml:space="preserve"> </w:t>
      </w:r>
      <w:r>
        <w:t>of</w:t>
      </w:r>
      <w:r>
        <w:rPr>
          <w:spacing w:val="-8"/>
        </w:rPr>
        <w:t xml:space="preserve"> </w:t>
      </w:r>
      <w:r>
        <w:t>the</w:t>
      </w:r>
      <w:r>
        <w:rPr>
          <w:spacing w:val="-8"/>
        </w:rPr>
        <w:t xml:space="preserve"> </w:t>
      </w:r>
      <w:r>
        <w:t>calendar</w:t>
      </w:r>
      <w:r>
        <w:rPr>
          <w:spacing w:val="-6"/>
        </w:rPr>
        <w:t xml:space="preserve"> </w:t>
      </w:r>
      <w:r>
        <w:t xml:space="preserve">quarter following the termination date. Upon termination of this Agreement, BFC shall immediately terminate any relationship between BFC and any custodians holding the Client’s assets </w:t>
      </w:r>
      <w:r>
        <w:rPr>
          <w:spacing w:val="-3"/>
        </w:rPr>
        <w:t xml:space="preserve">and, </w:t>
      </w:r>
      <w:r>
        <w:t xml:space="preserve">upon such termination, all obligations of BFC with respect to the Client will end. </w:t>
      </w:r>
      <w:r>
        <w:rPr>
          <w:spacing w:val="-3"/>
        </w:rPr>
        <w:t xml:space="preserve">Upon </w:t>
      </w:r>
      <w:r>
        <w:t>termination of this Agreement, Client shall be free to choose to terminate or maintain</w:t>
      </w:r>
      <w:r>
        <w:rPr>
          <w:spacing w:val="-22"/>
        </w:rPr>
        <w:t xml:space="preserve"> </w:t>
      </w:r>
      <w:r>
        <w:rPr>
          <w:spacing w:val="-4"/>
        </w:rPr>
        <w:t>any custodial relationships</w:t>
      </w:r>
      <w:r>
        <w:t xml:space="preserve"> or to transfer assets from Client’s account to newly established accounts.  The following fee table is a declining schedule, meaning our overall fee decreases </w:t>
      </w:r>
      <w:r>
        <w:lastRenderedPageBreak/>
        <w:t>as the amount of assets under management increases. For example: the blended annual rate for a portfolio</w:t>
      </w:r>
      <w:r>
        <w:rPr>
          <w:spacing w:val="-7"/>
        </w:rPr>
        <w:t xml:space="preserve"> </w:t>
      </w:r>
      <w:r>
        <w:t>valued</w:t>
      </w:r>
      <w:r>
        <w:rPr>
          <w:spacing w:val="-3"/>
        </w:rPr>
        <w:t xml:space="preserve"> </w:t>
      </w:r>
      <w:r>
        <w:t>at</w:t>
      </w:r>
      <w:r>
        <w:rPr>
          <w:spacing w:val="-4"/>
        </w:rPr>
        <w:t xml:space="preserve"> </w:t>
      </w:r>
      <w:r>
        <w:t>$2,000,000</w:t>
      </w:r>
      <w:r>
        <w:rPr>
          <w:spacing w:val="-3"/>
        </w:rPr>
        <w:t xml:space="preserve"> </w:t>
      </w:r>
      <w:r>
        <w:t>is</w:t>
      </w:r>
      <w:r>
        <w:rPr>
          <w:spacing w:val="-5"/>
        </w:rPr>
        <w:t xml:space="preserve"> </w:t>
      </w:r>
      <w:r>
        <w:t>0.80%.</w:t>
      </w:r>
      <w:r>
        <w:rPr>
          <w:spacing w:val="-6"/>
        </w:rPr>
        <w:t xml:space="preserve"> </w:t>
      </w:r>
      <w:r>
        <w:t>The</w:t>
      </w:r>
      <w:r>
        <w:rPr>
          <w:spacing w:val="-5"/>
        </w:rPr>
        <w:t xml:space="preserve"> </w:t>
      </w:r>
      <w:r>
        <w:t>fee</w:t>
      </w:r>
      <w:r>
        <w:rPr>
          <w:spacing w:val="-5"/>
        </w:rPr>
        <w:t xml:space="preserve"> </w:t>
      </w:r>
      <w:r>
        <w:t>is</w:t>
      </w:r>
      <w:r>
        <w:rPr>
          <w:spacing w:val="-5"/>
        </w:rPr>
        <w:t xml:space="preserve"> </w:t>
      </w:r>
      <w:r>
        <w:t>typically</w:t>
      </w:r>
      <w:r>
        <w:rPr>
          <w:spacing w:val="-5"/>
        </w:rPr>
        <w:t xml:space="preserve"> </w:t>
      </w:r>
      <w:r>
        <w:t>taken</w:t>
      </w:r>
      <w:r>
        <w:rPr>
          <w:spacing w:val="-4"/>
        </w:rPr>
        <w:t xml:space="preserve"> </w:t>
      </w:r>
      <w:r>
        <w:t>from</w:t>
      </w:r>
      <w:r>
        <w:rPr>
          <w:spacing w:val="-3"/>
        </w:rPr>
        <w:t xml:space="preserve"> </w:t>
      </w:r>
      <w:r>
        <w:t>investment</w:t>
      </w:r>
      <w:r>
        <w:rPr>
          <w:spacing w:val="-3"/>
        </w:rPr>
        <w:t xml:space="preserve"> </w:t>
      </w:r>
      <w:r>
        <w:t>accounts on a quarterly basis. In this example, the quarterly fee would be</w:t>
      </w:r>
      <w:r>
        <w:rPr>
          <w:spacing w:val="-21"/>
        </w:rPr>
        <w:t xml:space="preserve"> </w:t>
      </w:r>
      <w:r>
        <w:t>0.20%.</w:t>
      </w:r>
    </w:p>
    <w:p w14:paraId="7809A673" w14:textId="77777777" w:rsidR="00207CBB" w:rsidRDefault="00207CBB">
      <w:pPr>
        <w:pStyle w:val="BodyText"/>
        <w:spacing w:before="1"/>
        <w:ind w:left="230" w:right="347"/>
      </w:pPr>
    </w:p>
    <w:tbl>
      <w:tblPr>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3"/>
        <w:gridCol w:w="1893"/>
        <w:gridCol w:w="2339"/>
      </w:tblGrid>
      <w:tr w:rsidR="00207CBB" w14:paraId="34D80FBA" w14:textId="77777777">
        <w:trPr>
          <w:trHeight w:val="302"/>
        </w:trPr>
        <w:tc>
          <w:tcPr>
            <w:tcW w:w="4053" w:type="dxa"/>
          </w:tcPr>
          <w:p w14:paraId="25437274" w14:textId="77777777" w:rsidR="00207CBB" w:rsidRDefault="007729F9">
            <w:pPr>
              <w:pStyle w:val="TableParagraph"/>
              <w:ind w:right="805"/>
              <w:jc w:val="left"/>
              <w:rPr>
                <w:b/>
                <w:sz w:val="24"/>
              </w:rPr>
            </w:pPr>
            <w:r>
              <w:rPr>
                <w:b/>
                <w:sz w:val="24"/>
              </w:rPr>
              <w:t>Market Value</w:t>
            </w:r>
          </w:p>
        </w:tc>
        <w:tc>
          <w:tcPr>
            <w:tcW w:w="1893" w:type="dxa"/>
          </w:tcPr>
          <w:p w14:paraId="278A9C8A" w14:textId="77777777" w:rsidR="00207CBB" w:rsidRDefault="007729F9">
            <w:pPr>
              <w:pStyle w:val="TableParagraph"/>
              <w:ind w:left="371"/>
              <w:jc w:val="left"/>
              <w:rPr>
                <w:b/>
                <w:sz w:val="24"/>
              </w:rPr>
            </w:pPr>
            <w:r>
              <w:rPr>
                <w:b/>
                <w:sz w:val="24"/>
              </w:rPr>
              <w:t>Annual Fee</w:t>
            </w:r>
          </w:p>
        </w:tc>
        <w:tc>
          <w:tcPr>
            <w:tcW w:w="2339" w:type="dxa"/>
          </w:tcPr>
          <w:p w14:paraId="0BA43027" w14:textId="77777777" w:rsidR="00207CBB" w:rsidRDefault="007729F9">
            <w:pPr>
              <w:pStyle w:val="TableParagraph"/>
              <w:ind w:left="465" w:right="444"/>
              <w:jc w:val="left"/>
              <w:rPr>
                <w:b/>
                <w:sz w:val="24"/>
              </w:rPr>
            </w:pPr>
            <w:r>
              <w:rPr>
                <w:b/>
                <w:sz w:val="24"/>
              </w:rPr>
              <w:t>Quarterly Fee</w:t>
            </w:r>
          </w:p>
        </w:tc>
      </w:tr>
      <w:tr w:rsidR="00207CBB" w14:paraId="5A699A4B" w14:textId="77777777">
        <w:trPr>
          <w:trHeight w:val="302"/>
        </w:trPr>
        <w:tc>
          <w:tcPr>
            <w:tcW w:w="4053" w:type="dxa"/>
          </w:tcPr>
          <w:p w14:paraId="5FE017F4" w14:textId="77777777" w:rsidR="00207CBB" w:rsidRDefault="007729F9">
            <w:pPr>
              <w:pStyle w:val="TableParagraph"/>
              <w:ind w:right="810"/>
              <w:jc w:val="left"/>
              <w:rPr>
                <w:sz w:val="24"/>
              </w:rPr>
            </w:pPr>
            <w:r>
              <w:rPr>
                <w:sz w:val="24"/>
              </w:rPr>
              <w:t>Up to $1,000,000</w:t>
            </w:r>
          </w:p>
        </w:tc>
        <w:tc>
          <w:tcPr>
            <w:tcW w:w="1893" w:type="dxa"/>
          </w:tcPr>
          <w:p w14:paraId="3303CD20" w14:textId="77777777" w:rsidR="00207CBB" w:rsidRDefault="007729F9">
            <w:pPr>
              <w:pStyle w:val="TableParagraph"/>
              <w:ind w:left="363"/>
              <w:jc w:val="left"/>
              <w:rPr>
                <w:sz w:val="24"/>
              </w:rPr>
            </w:pPr>
            <w:r>
              <w:rPr>
                <w:sz w:val="24"/>
              </w:rPr>
              <w:t>1.05%</w:t>
            </w:r>
          </w:p>
        </w:tc>
        <w:tc>
          <w:tcPr>
            <w:tcW w:w="2339" w:type="dxa"/>
          </w:tcPr>
          <w:p w14:paraId="33E1042A" w14:textId="77777777" w:rsidR="00207CBB" w:rsidRDefault="007729F9">
            <w:pPr>
              <w:pStyle w:val="TableParagraph"/>
              <w:ind w:left="465" w:right="444"/>
              <w:jc w:val="left"/>
              <w:rPr>
                <w:sz w:val="24"/>
              </w:rPr>
            </w:pPr>
            <w:r>
              <w:rPr>
                <w:sz w:val="24"/>
              </w:rPr>
              <w:t>0.2625%</w:t>
            </w:r>
          </w:p>
        </w:tc>
      </w:tr>
      <w:tr w:rsidR="00207CBB" w14:paraId="0BEF3BA8" w14:textId="77777777">
        <w:trPr>
          <w:trHeight w:val="566"/>
        </w:trPr>
        <w:tc>
          <w:tcPr>
            <w:tcW w:w="4053" w:type="dxa"/>
          </w:tcPr>
          <w:p w14:paraId="205123B0" w14:textId="77777777" w:rsidR="00207CBB" w:rsidRDefault="007729F9">
            <w:pPr>
              <w:pStyle w:val="TableParagraph"/>
              <w:spacing w:line="240" w:lineRule="auto"/>
              <w:ind w:right="817"/>
              <w:jc w:val="left"/>
              <w:rPr>
                <w:sz w:val="24"/>
              </w:rPr>
            </w:pPr>
            <w:r>
              <w:rPr>
                <w:sz w:val="24"/>
              </w:rPr>
              <w:t>Next $2,000,000 (up to</w:t>
            </w:r>
          </w:p>
          <w:p w14:paraId="63D2D4C0" w14:textId="77777777" w:rsidR="00207CBB" w:rsidRDefault="007729F9">
            <w:pPr>
              <w:pStyle w:val="TableParagraph"/>
              <w:spacing w:line="261" w:lineRule="exact"/>
              <w:ind w:right="804"/>
              <w:jc w:val="left"/>
              <w:rPr>
                <w:sz w:val="24"/>
              </w:rPr>
            </w:pPr>
            <w:r>
              <w:rPr>
                <w:sz w:val="24"/>
              </w:rPr>
              <w:t>$3,000,000)</w:t>
            </w:r>
          </w:p>
        </w:tc>
        <w:tc>
          <w:tcPr>
            <w:tcW w:w="1893" w:type="dxa"/>
          </w:tcPr>
          <w:p w14:paraId="2A38C456" w14:textId="77777777" w:rsidR="00207CBB" w:rsidRDefault="007729F9">
            <w:pPr>
              <w:pStyle w:val="TableParagraph"/>
              <w:spacing w:line="240" w:lineRule="auto"/>
              <w:ind w:left="363"/>
              <w:jc w:val="left"/>
              <w:rPr>
                <w:sz w:val="24"/>
              </w:rPr>
            </w:pPr>
            <w:r>
              <w:rPr>
                <w:sz w:val="24"/>
              </w:rPr>
              <w:t>0.55%</w:t>
            </w:r>
          </w:p>
        </w:tc>
        <w:tc>
          <w:tcPr>
            <w:tcW w:w="2339" w:type="dxa"/>
          </w:tcPr>
          <w:p w14:paraId="5ED0D103" w14:textId="77777777" w:rsidR="00207CBB" w:rsidRDefault="007729F9">
            <w:pPr>
              <w:pStyle w:val="TableParagraph"/>
              <w:spacing w:line="240" w:lineRule="auto"/>
              <w:ind w:left="465" w:right="444"/>
              <w:jc w:val="left"/>
              <w:rPr>
                <w:sz w:val="24"/>
              </w:rPr>
            </w:pPr>
            <w:r>
              <w:rPr>
                <w:sz w:val="24"/>
              </w:rPr>
              <w:t>0.1375%</w:t>
            </w:r>
          </w:p>
        </w:tc>
      </w:tr>
      <w:tr w:rsidR="00207CBB" w14:paraId="67536130" w14:textId="77777777">
        <w:trPr>
          <w:trHeight w:val="561"/>
        </w:trPr>
        <w:tc>
          <w:tcPr>
            <w:tcW w:w="4053" w:type="dxa"/>
          </w:tcPr>
          <w:p w14:paraId="73D04E28" w14:textId="77777777" w:rsidR="00207CBB" w:rsidRDefault="007729F9">
            <w:pPr>
              <w:pStyle w:val="TableParagraph"/>
              <w:ind w:right="817"/>
              <w:jc w:val="left"/>
              <w:rPr>
                <w:sz w:val="24"/>
              </w:rPr>
            </w:pPr>
            <w:r>
              <w:rPr>
                <w:sz w:val="24"/>
              </w:rPr>
              <w:t>Next $2,000,000 (up to</w:t>
            </w:r>
          </w:p>
          <w:p w14:paraId="1953423B" w14:textId="77777777" w:rsidR="00207CBB" w:rsidRDefault="007729F9">
            <w:pPr>
              <w:pStyle w:val="TableParagraph"/>
              <w:spacing w:before="0" w:line="259" w:lineRule="exact"/>
              <w:ind w:right="804"/>
              <w:jc w:val="left"/>
              <w:rPr>
                <w:sz w:val="24"/>
              </w:rPr>
            </w:pPr>
            <w:r>
              <w:rPr>
                <w:sz w:val="24"/>
              </w:rPr>
              <w:t>$5,000,000)</w:t>
            </w:r>
          </w:p>
        </w:tc>
        <w:tc>
          <w:tcPr>
            <w:tcW w:w="1893" w:type="dxa"/>
          </w:tcPr>
          <w:p w14:paraId="2A2081EA" w14:textId="77777777" w:rsidR="00207CBB" w:rsidRDefault="007729F9">
            <w:pPr>
              <w:pStyle w:val="TableParagraph"/>
              <w:spacing w:line="240" w:lineRule="auto"/>
              <w:ind w:left="363"/>
              <w:jc w:val="left"/>
              <w:rPr>
                <w:sz w:val="24"/>
              </w:rPr>
            </w:pPr>
            <w:r>
              <w:rPr>
                <w:sz w:val="24"/>
              </w:rPr>
              <w:t>0.45%</w:t>
            </w:r>
          </w:p>
        </w:tc>
        <w:tc>
          <w:tcPr>
            <w:tcW w:w="2339" w:type="dxa"/>
          </w:tcPr>
          <w:p w14:paraId="3C24B57D" w14:textId="77777777" w:rsidR="00207CBB" w:rsidRDefault="007729F9">
            <w:pPr>
              <w:pStyle w:val="TableParagraph"/>
              <w:spacing w:line="240" w:lineRule="auto"/>
              <w:ind w:left="465" w:right="444"/>
              <w:jc w:val="left"/>
              <w:rPr>
                <w:sz w:val="24"/>
              </w:rPr>
            </w:pPr>
            <w:r>
              <w:rPr>
                <w:sz w:val="24"/>
              </w:rPr>
              <w:t>0.1125%</w:t>
            </w:r>
          </w:p>
        </w:tc>
      </w:tr>
      <w:tr w:rsidR="00207CBB" w14:paraId="62B1B669" w14:textId="77777777">
        <w:trPr>
          <w:trHeight w:val="565"/>
        </w:trPr>
        <w:tc>
          <w:tcPr>
            <w:tcW w:w="4053" w:type="dxa"/>
          </w:tcPr>
          <w:p w14:paraId="04C4540B" w14:textId="77777777" w:rsidR="00207CBB" w:rsidRDefault="007729F9">
            <w:pPr>
              <w:pStyle w:val="TableParagraph"/>
              <w:spacing w:line="240" w:lineRule="auto"/>
              <w:ind w:right="816"/>
              <w:jc w:val="left"/>
              <w:rPr>
                <w:sz w:val="24"/>
              </w:rPr>
            </w:pPr>
            <w:r>
              <w:rPr>
                <w:sz w:val="24"/>
              </w:rPr>
              <w:t>Next $5,000,000 (up to</w:t>
            </w:r>
          </w:p>
          <w:p w14:paraId="7AD8E928" w14:textId="77777777" w:rsidR="00207CBB" w:rsidRDefault="007729F9">
            <w:pPr>
              <w:pStyle w:val="TableParagraph"/>
              <w:spacing w:line="261" w:lineRule="exact"/>
              <w:ind w:right="804"/>
              <w:jc w:val="left"/>
              <w:rPr>
                <w:sz w:val="24"/>
              </w:rPr>
            </w:pPr>
            <w:r>
              <w:rPr>
                <w:sz w:val="24"/>
              </w:rPr>
              <w:t>$10,000,000)</w:t>
            </w:r>
          </w:p>
        </w:tc>
        <w:tc>
          <w:tcPr>
            <w:tcW w:w="1893" w:type="dxa"/>
          </w:tcPr>
          <w:p w14:paraId="6E75A874" w14:textId="77777777" w:rsidR="00207CBB" w:rsidRDefault="007729F9">
            <w:pPr>
              <w:pStyle w:val="TableParagraph"/>
              <w:spacing w:line="240" w:lineRule="auto"/>
              <w:ind w:left="363"/>
              <w:jc w:val="left"/>
              <w:rPr>
                <w:sz w:val="24"/>
              </w:rPr>
            </w:pPr>
            <w:r>
              <w:rPr>
                <w:sz w:val="24"/>
              </w:rPr>
              <w:t>0.35%</w:t>
            </w:r>
          </w:p>
        </w:tc>
        <w:tc>
          <w:tcPr>
            <w:tcW w:w="2339" w:type="dxa"/>
          </w:tcPr>
          <w:p w14:paraId="32CC4CF9" w14:textId="77777777" w:rsidR="00207CBB" w:rsidRDefault="007729F9">
            <w:pPr>
              <w:pStyle w:val="TableParagraph"/>
              <w:spacing w:line="240" w:lineRule="auto"/>
              <w:ind w:left="465" w:right="444"/>
              <w:jc w:val="left"/>
              <w:rPr>
                <w:sz w:val="24"/>
              </w:rPr>
            </w:pPr>
            <w:r>
              <w:rPr>
                <w:sz w:val="24"/>
              </w:rPr>
              <w:t>0.0875%</w:t>
            </w:r>
          </w:p>
        </w:tc>
      </w:tr>
      <w:tr w:rsidR="00207CBB" w14:paraId="4C8D6C84" w14:textId="77777777">
        <w:trPr>
          <w:trHeight w:val="302"/>
        </w:trPr>
        <w:tc>
          <w:tcPr>
            <w:tcW w:w="4053" w:type="dxa"/>
          </w:tcPr>
          <w:p w14:paraId="56AFBEB2" w14:textId="77777777" w:rsidR="00207CBB" w:rsidRDefault="007729F9">
            <w:pPr>
              <w:pStyle w:val="TableParagraph"/>
              <w:ind w:right="810"/>
              <w:jc w:val="left"/>
              <w:rPr>
                <w:sz w:val="24"/>
              </w:rPr>
            </w:pPr>
            <w:r>
              <w:rPr>
                <w:sz w:val="24"/>
              </w:rPr>
              <w:t>Over $10,000,000</w:t>
            </w:r>
          </w:p>
        </w:tc>
        <w:tc>
          <w:tcPr>
            <w:tcW w:w="1893" w:type="dxa"/>
          </w:tcPr>
          <w:p w14:paraId="2F33A9BA" w14:textId="77777777" w:rsidR="00207CBB" w:rsidRDefault="007729F9">
            <w:pPr>
              <w:pStyle w:val="TableParagraph"/>
              <w:ind w:left="363"/>
              <w:jc w:val="left"/>
              <w:rPr>
                <w:sz w:val="24"/>
              </w:rPr>
            </w:pPr>
            <w:r>
              <w:rPr>
                <w:sz w:val="24"/>
              </w:rPr>
              <w:t>0.25%</w:t>
            </w:r>
          </w:p>
        </w:tc>
        <w:tc>
          <w:tcPr>
            <w:tcW w:w="2339" w:type="dxa"/>
          </w:tcPr>
          <w:p w14:paraId="6C031018" w14:textId="77777777" w:rsidR="00207CBB" w:rsidRDefault="007729F9">
            <w:pPr>
              <w:pStyle w:val="TableParagraph"/>
              <w:ind w:left="465" w:right="444"/>
              <w:jc w:val="left"/>
              <w:rPr>
                <w:sz w:val="24"/>
              </w:rPr>
            </w:pPr>
            <w:r>
              <w:rPr>
                <w:sz w:val="24"/>
              </w:rPr>
              <w:t>0.0625%</w:t>
            </w:r>
          </w:p>
        </w:tc>
      </w:tr>
    </w:tbl>
    <w:p w14:paraId="6888F145" w14:textId="77777777" w:rsidR="00207CBB" w:rsidRDefault="00207CBB">
      <w:pPr>
        <w:pStyle w:val="BodyText"/>
        <w:rPr>
          <w:sz w:val="20"/>
        </w:rPr>
      </w:pPr>
    </w:p>
    <w:p w14:paraId="689CE4CB" w14:textId="77777777" w:rsidR="00207CBB" w:rsidRDefault="007729F9">
      <w:pPr>
        <w:pStyle w:val="BodyText"/>
        <w:spacing w:before="59" w:line="256" w:lineRule="auto"/>
        <w:ind w:left="230" w:right="212"/>
      </w:pPr>
      <w:r>
        <w:t>In</w:t>
      </w:r>
      <w:r>
        <w:rPr>
          <w:spacing w:val="-3"/>
        </w:rPr>
        <w:t xml:space="preserve"> </w:t>
      </w:r>
      <w:r>
        <w:t>certain</w:t>
      </w:r>
      <w:r>
        <w:rPr>
          <w:spacing w:val="-2"/>
        </w:rPr>
        <w:t xml:space="preserve"> </w:t>
      </w:r>
      <w:r>
        <w:t>cases,</w:t>
      </w:r>
      <w:r>
        <w:rPr>
          <w:spacing w:val="-4"/>
        </w:rPr>
        <w:t xml:space="preserve"> </w:t>
      </w:r>
      <w:r>
        <w:t>there</w:t>
      </w:r>
      <w:r>
        <w:rPr>
          <w:spacing w:val="-4"/>
        </w:rPr>
        <w:t xml:space="preserve"> </w:t>
      </w:r>
      <w:r>
        <w:t>is</w:t>
      </w:r>
      <w:r>
        <w:rPr>
          <w:spacing w:val="-4"/>
        </w:rPr>
        <w:t xml:space="preserve"> </w:t>
      </w:r>
      <w:r>
        <w:t>a</w:t>
      </w:r>
      <w:r>
        <w:rPr>
          <w:spacing w:val="-5"/>
        </w:rPr>
        <w:t xml:space="preserve"> </w:t>
      </w:r>
      <w:r>
        <w:t>minimum</w:t>
      </w:r>
      <w:r>
        <w:rPr>
          <w:spacing w:val="-1"/>
        </w:rPr>
        <w:t xml:space="preserve"> </w:t>
      </w:r>
      <w:r>
        <w:t>annual</w:t>
      </w:r>
      <w:r>
        <w:rPr>
          <w:spacing w:val="-1"/>
        </w:rPr>
        <w:t xml:space="preserve"> </w:t>
      </w:r>
      <w:r>
        <w:t>fee</w:t>
      </w:r>
      <w:r>
        <w:rPr>
          <w:spacing w:val="-4"/>
        </w:rPr>
        <w:t xml:space="preserve"> </w:t>
      </w:r>
      <w:r>
        <w:t>of</w:t>
      </w:r>
      <w:r>
        <w:rPr>
          <w:spacing w:val="-3"/>
        </w:rPr>
        <w:t xml:space="preserve"> </w:t>
      </w:r>
      <w:r>
        <w:t>$5,000</w:t>
      </w:r>
      <w:r>
        <w:rPr>
          <w:spacing w:val="-5"/>
        </w:rPr>
        <w:t xml:space="preserve"> </w:t>
      </w:r>
      <w:r>
        <w:t>depending</w:t>
      </w:r>
      <w:r>
        <w:rPr>
          <w:spacing w:val="-6"/>
        </w:rPr>
        <w:t xml:space="preserve"> </w:t>
      </w:r>
      <w:r>
        <w:t>on</w:t>
      </w:r>
      <w:r>
        <w:rPr>
          <w:spacing w:val="-3"/>
        </w:rPr>
        <w:t xml:space="preserve"> </w:t>
      </w:r>
      <w:r>
        <w:t>the</w:t>
      </w:r>
      <w:r>
        <w:rPr>
          <w:spacing w:val="-4"/>
        </w:rPr>
        <w:t xml:space="preserve"> </w:t>
      </w:r>
      <w:r>
        <w:t>nature</w:t>
      </w:r>
      <w:r>
        <w:rPr>
          <w:spacing w:val="-4"/>
        </w:rPr>
        <w:t xml:space="preserve"> </w:t>
      </w:r>
      <w:r>
        <w:t>of</w:t>
      </w:r>
      <w:r>
        <w:rPr>
          <w:spacing w:val="-3"/>
        </w:rPr>
        <w:t xml:space="preserve"> </w:t>
      </w:r>
      <w:r>
        <w:t xml:space="preserve">services to be provided, types of investments, portfolio makeup and/or the complexity of the client’s situation. This could be higher than 1.05% for client accounts under $500,000. The Adviser reserves the discretion </w:t>
      </w:r>
      <w:r>
        <w:rPr>
          <w:spacing w:val="-3"/>
        </w:rPr>
        <w:t xml:space="preserve">to </w:t>
      </w:r>
      <w:r>
        <w:t xml:space="preserve">waive or adjust fees/minimums as </w:t>
      </w:r>
      <w:r>
        <w:rPr>
          <w:spacing w:val="-8"/>
        </w:rPr>
        <w:t xml:space="preserve">they </w:t>
      </w:r>
      <w:r>
        <w:rPr>
          <w:spacing w:val="-10"/>
        </w:rPr>
        <w:t xml:space="preserve">deem </w:t>
      </w:r>
      <w:r>
        <w:t>appropriate. Refer to your Wealth Management Agreement for your specific fee</w:t>
      </w:r>
      <w:r>
        <w:rPr>
          <w:spacing w:val="1"/>
        </w:rPr>
        <w:t xml:space="preserve"> </w:t>
      </w:r>
      <w:r>
        <w:t>schedule.</w:t>
      </w:r>
    </w:p>
    <w:p w14:paraId="66021BD5" w14:textId="77777777" w:rsidR="00207CBB" w:rsidRDefault="00207CBB">
      <w:pPr>
        <w:pStyle w:val="BodyText"/>
        <w:spacing w:before="11"/>
        <w:rPr>
          <w:sz w:val="23"/>
          <w:u w:val="single"/>
        </w:rPr>
      </w:pPr>
    </w:p>
    <w:p w14:paraId="79F29D48" w14:textId="77777777" w:rsidR="00207CBB" w:rsidRDefault="007729F9">
      <w:pPr>
        <w:pStyle w:val="BodyText"/>
        <w:ind w:firstLine="230"/>
        <w:rPr>
          <w:b/>
          <w:u w:val="single"/>
        </w:rPr>
      </w:pPr>
      <w:r>
        <w:rPr>
          <w:b/>
          <w:u w:val="single"/>
        </w:rPr>
        <w:t>Financial Planning</w:t>
      </w:r>
    </w:p>
    <w:p w14:paraId="6B88CA5D" w14:textId="77777777" w:rsidR="00207CBB" w:rsidRDefault="00207CBB">
      <w:pPr>
        <w:pStyle w:val="BodyText"/>
      </w:pPr>
    </w:p>
    <w:p w14:paraId="79C851AF" w14:textId="77777777" w:rsidR="00207CBB" w:rsidRDefault="007729F9">
      <w:pPr>
        <w:pStyle w:val="BodyText"/>
        <w:spacing w:before="2"/>
        <w:ind w:left="230" w:right="211"/>
        <w:rPr>
          <w:spacing w:val="-8"/>
        </w:rPr>
      </w:pPr>
      <w:r>
        <w:t xml:space="preserve">Financial planning services are almost always part of the Adviser’s Investment Account Management service. However, </w:t>
      </w:r>
      <w:r>
        <w:rPr>
          <w:color w:val="1F487C"/>
        </w:rPr>
        <w:t>c</w:t>
      </w:r>
      <w:r>
        <w:t>lients can engage the Adviser to construct a financial plan where</w:t>
      </w:r>
      <w:r>
        <w:rPr>
          <w:spacing w:val="-11"/>
        </w:rPr>
        <w:t xml:space="preserve"> </w:t>
      </w:r>
      <w:r>
        <w:t>such</w:t>
      </w:r>
      <w:r>
        <w:rPr>
          <w:spacing w:val="-7"/>
        </w:rPr>
        <w:t xml:space="preserve"> </w:t>
      </w:r>
      <w:r>
        <w:t>a</w:t>
      </w:r>
      <w:r>
        <w:rPr>
          <w:spacing w:val="-11"/>
        </w:rPr>
        <w:t xml:space="preserve"> </w:t>
      </w:r>
      <w:r>
        <w:t>plan</w:t>
      </w:r>
      <w:r>
        <w:rPr>
          <w:spacing w:val="-13"/>
        </w:rPr>
        <w:t xml:space="preserve"> </w:t>
      </w:r>
      <w:r>
        <w:t>represents</w:t>
      </w:r>
      <w:r>
        <w:rPr>
          <w:spacing w:val="-11"/>
        </w:rPr>
        <w:t xml:space="preserve"> </w:t>
      </w:r>
      <w:r>
        <w:t>a</w:t>
      </w:r>
      <w:r>
        <w:rPr>
          <w:spacing w:val="-10"/>
        </w:rPr>
        <w:t xml:space="preserve"> </w:t>
      </w:r>
      <w:r>
        <w:t>depth</w:t>
      </w:r>
      <w:r>
        <w:rPr>
          <w:spacing w:val="-7"/>
        </w:rPr>
        <w:t xml:space="preserve"> </w:t>
      </w:r>
      <w:r>
        <w:t>and</w:t>
      </w:r>
      <w:r>
        <w:rPr>
          <w:spacing w:val="-7"/>
        </w:rPr>
        <w:t xml:space="preserve"> </w:t>
      </w:r>
      <w:r>
        <w:t>breadth</w:t>
      </w:r>
      <w:r>
        <w:rPr>
          <w:spacing w:val="-7"/>
        </w:rPr>
        <w:t xml:space="preserve"> </w:t>
      </w:r>
      <w:r>
        <w:t>beyond normal</w:t>
      </w:r>
      <w:r>
        <w:rPr>
          <w:spacing w:val="-7"/>
        </w:rPr>
        <w:t xml:space="preserve"> </w:t>
      </w:r>
      <w:r>
        <w:t>financial</w:t>
      </w:r>
      <w:r>
        <w:rPr>
          <w:spacing w:val="-8"/>
        </w:rPr>
        <w:t xml:space="preserve"> </w:t>
      </w:r>
      <w:r>
        <w:t>planning</w:t>
      </w:r>
      <w:r>
        <w:rPr>
          <w:spacing w:val="-7"/>
        </w:rPr>
        <w:t xml:space="preserve"> </w:t>
      </w:r>
      <w:r>
        <w:t>services. Such</w:t>
      </w:r>
      <w:r>
        <w:rPr>
          <w:spacing w:val="-6"/>
        </w:rPr>
        <w:t xml:space="preserve"> </w:t>
      </w:r>
      <w:r>
        <w:t>fee</w:t>
      </w:r>
      <w:r>
        <w:rPr>
          <w:spacing w:val="-8"/>
        </w:rPr>
        <w:t xml:space="preserve"> </w:t>
      </w:r>
      <w:r>
        <w:t>is</w:t>
      </w:r>
      <w:r>
        <w:rPr>
          <w:spacing w:val="-8"/>
        </w:rPr>
        <w:t xml:space="preserve"> </w:t>
      </w:r>
      <w:r>
        <w:t>negotiable</w:t>
      </w:r>
      <w:r>
        <w:rPr>
          <w:spacing w:val="-3"/>
        </w:rPr>
        <w:t xml:space="preserve"> </w:t>
      </w:r>
      <w:r>
        <w:t>and</w:t>
      </w:r>
      <w:r>
        <w:rPr>
          <w:spacing w:val="-5"/>
        </w:rPr>
        <w:t xml:space="preserve"> </w:t>
      </w:r>
      <w:r>
        <w:t>will</w:t>
      </w:r>
      <w:r>
        <w:rPr>
          <w:spacing w:val="-6"/>
        </w:rPr>
        <w:t xml:space="preserve"> </w:t>
      </w:r>
      <w:r>
        <w:t>be</w:t>
      </w:r>
      <w:r>
        <w:rPr>
          <w:spacing w:val="-8"/>
        </w:rPr>
        <w:t xml:space="preserve"> </w:t>
      </w:r>
      <w:r>
        <w:t>assessed</w:t>
      </w:r>
      <w:r>
        <w:rPr>
          <w:spacing w:val="-1"/>
        </w:rPr>
        <w:t xml:space="preserve"> </w:t>
      </w:r>
      <w:r>
        <w:t>as</w:t>
      </w:r>
      <w:r>
        <w:rPr>
          <w:spacing w:val="-4"/>
        </w:rPr>
        <w:t xml:space="preserve"> </w:t>
      </w:r>
      <w:r>
        <w:t>a</w:t>
      </w:r>
      <w:r>
        <w:rPr>
          <w:spacing w:val="-8"/>
        </w:rPr>
        <w:t xml:space="preserve"> </w:t>
      </w:r>
      <w:r>
        <w:t>fixed</w:t>
      </w:r>
      <w:r>
        <w:rPr>
          <w:spacing w:val="-6"/>
        </w:rPr>
        <w:t xml:space="preserve"> </w:t>
      </w:r>
      <w:r>
        <w:t>fee.</w:t>
      </w:r>
      <w:r>
        <w:rPr>
          <w:spacing w:val="51"/>
        </w:rPr>
        <w:t xml:space="preserve"> </w:t>
      </w:r>
      <w:r>
        <w:t>The</w:t>
      </w:r>
      <w:r>
        <w:rPr>
          <w:spacing w:val="-8"/>
        </w:rPr>
        <w:t xml:space="preserve"> </w:t>
      </w:r>
      <w:r>
        <w:t>fee</w:t>
      </w:r>
      <w:r>
        <w:rPr>
          <w:spacing w:val="-5"/>
        </w:rPr>
        <w:t xml:space="preserve"> </w:t>
      </w:r>
      <w:r>
        <w:t>is</w:t>
      </w:r>
      <w:r>
        <w:rPr>
          <w:spacing w:val="-3"/>
        </w:rPr>
        <w:t xml:space="preserve"> </w:t>
      </w:r>
      <w:r>
        <w:t>a</w:t>
      </w:r>
      <w:r>
        <w:rPr>
          <w:spacing w:val="-8"/>
        </w:rPr>
        <w:t xml:space="preserve"> </w:t>
      </w:r>
      <w:r>
        <w:t>one-time</w:t>
      </w:r>
      <w:r>
        <w:rPr>
          <w:spacing w:val="-8"/>
        </w:rPr>
        <w:t xml:space="preserve"> </w:t>
      </w:r>
      <w:r>
        <w:t>project</w:t>
      </w:r>
      <w:r>
        <w:rPr>
          <w:spacing w:val="-6"/>
        </w:rPr>
        <w:t xml:space="preserve"> </w:t>
      </w:r>
      <w:r>
        <w:t>fee</w:t>
      </w:r>
      <w:r>
        <w:rPr>
          <w:spacing w:val="-9"/>
        </w:rPr>
        <w:t xml:space="preserve"> </w:t>
      </w:r>
      <w:r>
        <w:t>that typically ranges between $1,000 and $2,500. The fee is negotiable at the Adviser’s discretion. The</w:t>
      </w:r>
      <w:r>
        <w:rPr>
          <w:spacing w:val="-18"/>
        </w:rPr>
        <w:t xml:space="preserve"> </w:t>
      </w:r>
      <w:r>
        <w:t>fee</w:t>
      </w:r>
      <w:r>
        <w:rPr>
          <w:spacing w:val="-17"/>
        </w:rPr>
        <w:t xml:space="preserve"> </w:t>
      </w:r>
      <w:r>
        <w:rPr>
          <w:spacing w:val="2"/>
        </w:rPr>
        <w:t>is</w:t>
      </w:r>
      <w:r>
        <w:rPr>
          <w:spacing w:val="-18"/>
        </w:rPr>
        <w:t xml:space="preserve"> </w:t>
      </w:r>
      <w:r>
        <w:t>determined</w:t>
      </w:r>
      <w:r>
        <w:rPr>
          <w:spacing w:val="-14"/>
        </w:rPr>
        <w:t xml:space="preserve"> </w:t>
      </w:r>
      <w:r>
        <w:t>and</w:t>
      </w:r>
      <w:r>
        <w:rPr>
          <w:spacing w:val="-4"/>
        </w:rPr>
        <w:t xml:space="preserve"> </w:t>
      </w:r>
      <w:r>
        <w:t>agreed</w:t>
      </w:r>
      <w:r>
        <w:rPr>
          <w:spacing w:val="-5"/>
        </w:rPr>
        <w:t xml:space="preserve"> </w:t>
      </w:r>
      <w:r>
        <w:t>upon</w:t>
      </w:r>
      <w:r>
        <w:rPr>
          <w:spacing w:val="-7"/>
        </w:rPr>
        <w:t xml:space="preserve"> </w:t>
      </w:r>
      <w:r>
        <w:t>by</w:t>
      </w:r>
      <w:r>
        <w:rPr>
          <w:spacing w:val="-7"/>
        </w:rPr>
        <w:t xml:space="preserve"> </w:t>
      </w:r>
      <w:r>
        <w:t>the</w:t>
      </w:r>
      <w:r>
        <w:rPr>
          <w:spacing w:val="-8"/>
        </w:rPr>
        <w:t xml:space="preserve"> </w:t>
      </w:r>
      <w:r>
        <w:t>client</w:t>
      </w:r>
      <w:r>
        <w:rPr>
          <w:spacing w:val="-6"/>
        </w:rPr>
        <w:t xml:space="preserve"> </w:t>
      </w:r>
      <w:r>
        <w:t>prior</w:t>
      </w:r>
      <w:r>
        <w:rPr>
          <w:spacing w:val="-6"/>
        </w:rPr>
        <w:t xml:space="preserve"> </w:t>
      </w:r>
      <w:r>
        <w:rPr>
          <w:spacing w:val="-3"/>
        </w:rPr>
        <w:t>to</w:t>
      </w:r>
      <w:r>
        <w:rPr>
          <w:spacing w:val="-4"/>
        </w:rPr>
        <w:t xml:space="preserve"> </w:t>
      </w:r>
      <w:r>
        <w:t>commencement</w:t>
      </w:r>
      <w:r>
        <w:rPr>
          <w:spacing w:val="-7"/>
        </w:rPr>
        <w:t xml:space="preserve"> </w:t>
      </w:r>
      <w:r>
        <w:t>of</w:t>
      </w:r>
      <w:r>
        <w:rPr>
          <w:spacing w:val="-7"/>
        </w:rPr>
        <w:t xml:space="preserve"> </w:t>
      </w:r>
      <w:r>
        <w:t>any</w:t>
      </w:r>
      <w:r>
        <w:rPr>
          <w:spacing w:val="-7"/>
        </w:rPr>
        <w:t xml:space="preserve"> </w:t>
      </w:r>
      <w:r>
        <w:t>work.</w:t>
      </w:r>
      <w:r>
        <w:rPr>
          <w:spacing w:val="-8"/>
        </w:rPr>
        <w:t xml:space="preserve"> </w:t>
      </w:r>
    </w:p>
    <w:p w14:paraId="14F2A92D" w14:textId="77777777" w:rsidR="00207CBB" w:rsidRDefault="00207CBB">
      <w:pPr>
        <w:rPr>
          <w:spacing w:val="-8"/>
          <w:sz w:val="24"/>
          <w:szCs w:val="24"/>
        </w:rPr>
      </w:pPr>
    </w:p>
    <w:p w14:paraId="3C50EDE7" w14:textId="77777777" w:rsidR="00207CBB" w:rsidRDefault="007729F9">
      <w:pPr>
        <w:pStyle w:val="BodyText"/>
        <w:spacing w:before="2"/>
        <w:ind w:left="230" w:right="211"/>
      </w:pPr>
      <w:r>
        <w:t>The client</w:t>
      </w:r>
      <w:r>
        <w:rPr>
          <w:spacing w:val="-6"/>
        </w:rPr>
        <w:t xml:space="preserve"> </w:t>
      </w:r>
      <w:r>
        <w:t>can</w:t>
      </w:r>
      <w:r>
        <w:rPr>
          <w:spacing w:val="-6"/>
        </w:rPr>
        <w:t xml:space="preserve"> </w:t>
      </w:r>
      <w:r>
        <w:t>cancel</w:t>
      </w:r>
      <w:r>
        <w:rPr>
          <w:spacing w:val="-5"/>
        </w:rPr>
        <w:t xml:space="preserve"> </w:t>
      </w:r>
      <w:r>
        <w:t>this</w:t>
      </w:r>
      <w:r>
        <w:rPr>
          <w:spacing w:val="-25"/>
        </w:rPr>
        <w:t xml:space="preserve"> </w:t>
      </w:r>
      <w:r>
        <w:t>service</w:t>
      </w:r>
      <w:r>
        <w:rPr>
          <w:spacing w:val="-2"/>
        </w:rPr>
        <w:t xml:space="preserve"> </w:t>
      </w:r>
      <w:r>
        <w:t>at</w:t>
      </w:r>
      <w:r>
        <w:rPr>
          <w:spacing w:val="-6"/>
        </w:rPr>
        <w:t xml:space="preserve"> </w:t>
      </w:r>
      <w:r>
        <w:t>any</w:t>
      </w:r>
      <w:r>
        <w:rPr>
          <w:spacing w:val="-7"/>
        </w:rPr>
        <w:t xml:space="preserve"> </w:t>
      </w:r>
      <w:r>
        <w:t>time</w:t>
      </w:r>
      <w:r>
        <w:rPr>
          <w:spacing w:val="-8"/>
        </w:rPr>
        <w:t xml:space="preserve"> </w:t>
      </w:r>
      <w:r>
        <w:t>with</w:t>
      </w:r>
      <w:r>
        <w:rPr>
          <w:spacing w:val="-5"/>
        </w:rPr>
        <w:t xml:space="preserve"> </w:t>
      </w:r>
      <w:r>
        <w:t>a</w:t>
      </w:r>
      <w:r>
        <w:rPr>
          <w:spacing w:val="-4"/>
        </w:rPr>
        <w:t xml:space="preserve"> </w:t>
      </w:r>
      <w:r>
        <w:t>written</w:t>
      </w:r>
      <w:r>
        <w:rPr>
          <w:spacing w:val="-5"/>
        </w:rPr>
        <w:t xml:space="preserve"> </w:t>
      </w:r>
      <w:r>
        <w:t>notice,</w:t>
      </w:r>
      <w:r>
        <w:rPr>
          <w:spacing w:val="-8"/>
        </w:rPr>
        <w:t xml:space="preserve"> </w:t>
      </w:r>
      <w:r>
        <w:t>however,</w:t>
      </w:r>
      <w:r>
        <w:rPr>
          <w:spacing w:val="-8"/>
        </w:rPr>
        <w:t xml:space="preserve"> </w:t>
      </w:r>
      <w:r>
        <w:t>the</w:t>
      </w:r>
      <w:r>
        <w:rPr>
          <w:spacing w:val="-8"/>
        </w:rPr>
        <w:t xml:space="preserve"> </w:t>
      </w:r>
      <w:r>
        <w:t>client</w:t>
      </w:r>
      <w:r>
        <w:rPr>
          <w:spacing w:val="-6"/>
        </w:rPr>
        <w:t xml:space="preserve"> </w:t>
      </w:r>
      <w:r>
        <w:t>will</w:t>
      </w:r>
      <w:r>
        <w:rPr>
          <w:spacing w:val="-5"/>
        </w:rPr>
        <w:t xml:space="preserve"> </w:t>
      </w:r>
      <w:r>
        <w:t>remain obligated</w:t>
      </w:r>
      <w:r>
        <w:rPr>
          <w:spacing w:val="-6"/>
        </w:rPr>
        <w:t xml:space="preserve"> </w:t>
      </w:r>
      <w:r>
        <w:t>to</w:t>
      </w:r>
      <w:r>
        <w:rPr>
          <w:spacing w:val="-10"/>
        </w:rPr>
        <w:t xml:space="preserve"> </w:t>
      </w:r>
      <w:r>
        <w:t>pay</w:t>
      </w:r>
      <w:r>
        <w:rPr>
          <w:spacing w:val="-7"/>
        </w:rPr>
        <w:t xml:space="preserve"> </w:t>
      </w:r>
      <w:r>
        <w:t>the</w:t>
      </w:r>
      <w:r>
        <w:rPr>
          <w:spacing w:val="-6"/>
        </w:rPr>
        <w:t xml:space="preserve"> </w:t>
      </w:r>
      <w:r>
        <w:rPr>
          <w:spacing w:val="-3"/>
        </w:rPr>
        <w:t>full</w:t>
      </w:r>
      <w:r>
        <w:rPr>
          <w:spacing w:val="-15"/>
        </w:rPr>
        <w:t xml:space="preserve"> </w:t>
      </w:r>
      <w:r>
        <w:t>financial</w:t>
      </w:r>
      <w:r>
        <w:rPr>
          <w:spacing w:val="-5"/>
        </w:rPr>
        <w:t xml:space="preserve"> </w:t>
      </w:r>
      <w:r>
        <w:t>planning</w:t>
      </w:r>
      <w:r>
        <w:rPr>
          <w:spacing w:val="-11"/>
        </w:rPr>
        <w:t xml:space="preserve"> </w:t>
      </w:r>
      <w:r>
        <w:t>fee,</w:t>
      </w:r>
      <w:r>
        <w:rPr>
          <w:spacing w:val="-8"/>
        </w:rPr>
        <w:t xml:space="preserve"> </w:t>
      </w:r>
      <w:r>
        <w:t>or</w:t>
      </w:r>
      <w:r>
        <w:rPr>
          <w:spacing w:val="-6"/>
        </w:rPr>
        <w:t xml:space="preserve"> </w:t>
      </w:r>
      <w:r>
        <w:t>an</w:t>
      </w:r>
      <w:r>
        <w:rPr>
          <w:spacing w:val="-7"/>
        </w:rPr>
        <w:t xml:space="preserve"> </w:t>
      </w:r>
      <w:r>
        <w:t>agreed</w:t>
      </w:r>
      <w:r>
        <w:rPr>
          <w:spacing w:val="-5"/>
        </w:rPr>
        <w:t xml:space="preserve"> </w:t>
      </w:r>
      <w:r>
        <w:t>upon</w:t>
      </w:r>
      <w:r>
        <w:rPr>
          <w:spacing w:val="-7"/>
        </w:rPr>
        <w:t xml:space="preserve"> </w:t>
      </w:r>
      <w:r>
        <w:t>portion</w:t>
      </w:r>
      <w:r>
        <w:rPr>
          <w:spacing w:val="-7"/>
        </w:rPr>
        <w:t xml:space="preserve"> </w:t>
      </w:r>
      <w:r>
        <w:t>of</w:t>
      </w:r>
      <w:r>
        <w:rPr>
          <w:spacing w:val="-12"/>
        </w:rPr>
        <w:t xml:space="preserve"> </w:t>
      </w:r>
      <w:r>
        <w:t>the</w:t>
      </w:r>
      <w:r>
        <w:rPr>
          <w:spacing w:val="-9"/>
        </w:rPr>
        <w:t xml:space="preserve"> </w:t>
      </w:r>
      <w:r>
        <w:t>fee,</w:t>
      </w:r>
      <w:r>
        <w:rPr>
          <w:spacing w:val="-8"/>
        </w:rPr>
        <w:t xml:space="preserve"> </w:t>
      </w:r>
      <w:r>
        <w:t>which</w:t>
      </w:r>
      <w:r>
        <w:rPr>
          <w:spacing w:val="-10"/>
        </w:rPr>
        <w:t xml:space="preserve"> </w:t>
      </w:r>
      <w:r>
        <w:t>will be found in the client agreement/engagement letter. Ongoing planning services (including plan updates, new analyses, and/or projections) can be provided and charged via an annual retainer fee, billed</w:t>
      </w:r>
      <w:r>
        <w:rPr>
          <w:spacing w:val="3"/>
        </w:rPr>
        <w:t xml:space="preserve"> </w:t>
      </w:r>
      <w:r>
        <w:t>quarterly.</w:t>
      </w:r>
    </w:p>
    <w:p w14:paraId="07C3867F" w14:textId="77777777" w:rsidR="00207CBB" w:rsidRDefault="00207CBB">
      <w:pPr>
        <w:pStyle w:val="BodyText"/>
        <w:spacing w:before="2"/>
        <w:rPr>
          <w:sz w:val="25"/>
        </w:rPr>
      </w:pPr>
    </w:p>
    <w:p w14:paraId="730B65DD" w14:textId="77777777" w:rsidR="00207CBB" w:rsidRDefault="007729F9">
      <w:pPr>
        <w:pStyle w:val="BodyText"/>
        <w:ind w:firstLine="230"/>
        <w:rPr>
          <w:b/>
        </w:rPr>
      </w:pPr>
      <w:r>
        <w:rPr>
          <w:b/>
        </w:rPr>
        <w:t>General Fees and Compensation Information</w:t>
      </w:r>
    </w:p>
    <w:p w14:paraId="174FC42D" w14:textId="77777777" w:rsidR="00207CBB" w:rsidRDefault="00207CBB">
      <w:pPr>
        <w:pStyle w:val="BodyText"/>
      </w:pPr>
    </w:p>
    <w:p w14:paraId="6A25B39C" w14:textId="77777777" w:rsidR="00207CBB" w:rsidRDefault="007729F9">
      <w:pPr>
        <w:pStyle w:val="BodyText"/>
        <w:spacing w:before="9" w:line="237" w:lineRule="auto"/>
        <w:ind w:left="230" w:right="355"/>
      </w:pPr>
      <w:r>
        <w:t>For all services offered by Adviser, the same or different services could be offered by other firms at the same, higher, or lower fees.</w:t>
      </w:r>
    </w:p>
    <w:p w14:paraId="43684987" w14:textId="77777777" w:rsidR="00207CBB" w:rsidRDefault="00207CBB">
      <w:pPr>
        <w:pStyle w:val="BodyText"/>
        <w:spacing w:before="11"/>
        <w:rPr>
          <w:sz w:val="23"/>
        </w:rPr>
      </w:pPr>
    </w:p>
    <w:p w14:paraId="12D9A26D" w14:textId="77777777" w:rsidR="00207CBB" w:rsidRDefault="007729F9">
      <w:pPr>
        <w:pStyle w:val="BodyText"/>
        <w:ind w:left="230" w:right="341"/>
      </w:pPr>
      <w:r>
        <w:t>In addition, Adviser could recommend Separately Managed Accounts or 529 accounts. In these</w:t>
      </w:r>
      <w:r>
        <w:rPr>
          <w:spacing w:val="-5"/>
        </w:rPr>
        <w:t xml:space="preserve"> </w:t>
      </w:r>
      <w:r>
        <w:t>cases,</w:t>
      </w:r>
      <w:r>
        <w:rPr>
          <w:spacing w:val="-4"/>
        </w:rPr>
        <w:t xml:space="preserve"> </w:t>
      </w:r>
      <w:r>
        <w:t>Adviser</w:t>
      </w:r>
      <w:r>
        <w:rPr>
          <w:spacing w:val="-2"/>
        </w:rPr>
        <w:t xml:space="preserve"> </w:t>
      </w:r>
      <w:r>
        <w:t>will</w:t>
      </w:r>
      <w:r>
        <w:rPr>
          <w:spacing w:val="1"/>
        </w:rPr>
        <w:t xml:space="preserve"> </w:t>
      </w:r>
      <w:r>
        <w:t>charge</w:t>
      </w:r>
      <w:r>
        <w:rPr>
          <w:spacing w:val="-4"/>
        </w:rPr>
        <w:t xml:space="preserve"> </w:t>
      </w:r>
      <w:r>
        <w:t>a</w:t>
      </w:r>
      <w:r>
        <w:rPr>
          <w:spacing w:val="-6"/>
        </w:rPr>
        <w:t xml:space="preserve"> </w:t>
      </w:r>
      <w:r>
        <w:t>management</w:t>
      </w:r>
      <w:r>
        <w:rPr>
          <w:spacing w:val="-2"/>
        </w:rPr>
        <w:t xml:space="preserve"> </w:t>
      </w:r>
      <w:r>
        <w:rPr>
          <w:spacing w:val="-3"/>
        </w:rPr>
        <w:t>fee</w:t>
      </w:r>
      <w:r>
        <w:rPr>
          <w:spacing w:val="-5"/>
        </w:rPr>
        <w:t xml:space="preserve"> </w:t>
      </w:r>
      <w:r>
        <w:t>for</w:t>
      </w:r>
      <w:r>
        <w:rPr>
          <w:spacing w:val="-2"/>
        </w:rPr>
        <w:t xml:space="preserve"> </w:t>
      </w:r>
      <w:r>
        <w:t>any</w:t>
      </w:r>
      <w:r>
        <w:rPr>
          <w:spacing w:val="-3"/>
        </w:rPr>
        <w:t xml:space="preserve"> </w:t>
      </w:r>
      <w:r>
        <w:t>of</w:t>
      </w:r>
      <w:r>
        <w:rPr>
          <w:spacing w:val="-4"/>
        </w:rPr>
        <w:t xml:space="preserve"> </w:t>
      </w:r>
      <w:r>
        <w:t>these</w:t>
      </w:r>
      <w:r>
        <w:rPr>
          <w:spacing w:val="-4"/>
        </w:rPr>
        <w:t xml:space="preserve"> </w:t>
      </w:r>
      <w:r>
        <w:t>types</w:t>
      </w:r>
      <w:r>
        <w:rPr>
          <w:spacing w:val="-6"/>
        </w:rPr>
        <w:t xml:space="preserve"> </w:t>
      </w:r>
      <w:r>
        <w:t>of</w:t>
      </w:r>
      <w:r>
        <w:rPr>
          <w:spacing w:val="-3"/>
        </w:rPr>
        <w:t xml:space="preserve"> </w:t>
      </w:r>
      <w:r>
        <w:t>assets</w:t>
      </w:r>
      <w:r>
        <w:rPr>
          <w:spacing w:val="-6"/>
        </w:rPr>
        <w:t xml:space="preserve"> </w:t>
      </w:r>
      <w:r>
        <w:t>under</w:t>
      </w:r>
      <w:r>
        <w:rPr>
          <w:spacing w:val="-1"/>
        </w:rPr>
        <w:t xml:space="preserve"> </w:t>
      </w:r>
      <w:r>
        <w:t>our management.</w:t>
      </w:r>
      <w:r>
        <w:rPr>
          <w:spacing w:val="-13"/>
        </w:rPr>
        <w:t xml:space="preserve"> </w:t>
      </w:r>
      <w:r>
        <w:t>The</w:t>
      </w:r>
      <w:r>
        <w:rPr>
          <w:spacing w:val="-14"/>
        </w:rPr>
        <w:t xml:space="preserve"> </w:t>
      </w:r>
      <w:r>
        <w:t>third-party</w:t>
      </w:r>
      <w:r>
        <w:rPr>
          <w:spacing w:val="-17"/>
        </w:rPr>
        <w:t xml:space="preserve"> </w:t>
      </w:r>
      <w:r>
        <w:t>managers</w:t>
      </w:r>
      <w:r>
        <w:rPr>
          <w:spacing w:val="-14"/>
        </w:rPr>
        <w:t xml:space="preserve"> </w:t>
      </w:r>
      <w:r>
        <w:t>of</w:t>
      </w:r>
      <w:r>
        <w:rPr>
          <w:spacing w:val="-13"/>
        </w:rPr>
        <w:t xml:space="preserve"> </w:t>
      </w:r>
      <w:r>
        <w:t>these</w:t>
      </w:r>
      <w:r>
        <w:rPr>
          <w:spacing w:val="-14"/>
        </w:rPr>
        <w:t xml:space="preserve"> </w:t>
      </w:r>
      <w:r>
        <w:t>accounts</w:t>
      </w:r>
      <w:r>
        <w:rPr>
          <w:spacing w:val="-13"/>
        </w:rPr>
        <w:t xml:space="preserve"> </w:t>
      </w:r>
      <w:r>
        <w:t>will</w:t>
      </w:r>
      <w:r>
        <w:rPr>
          <w:spacing w:val="-10"/>
        </w:rPr>
        <w:t xml:space="preserve"> </w:t>
      </w:r>
      <w:r>
        <w:t>also</w:t>
      </w:r>
      <w:r>
        <w:rPr>
          <w:spacing w:val="-15"/>
        </w:rPr>
        <w:t xml:space="preserve"> </w:t>
      </w:r>
      <w:r>
        <w:t>charge</w:t>
      </w:r>
      <w:r>
        <w:rPr>
          <w:spacing w:val="-14"/>
        </w:rPr>
        <w:t xml:space="preserve"> </w:t>
      </w:r>
      <w:r>
        <w:t>a</w:t>
      </w:r>
      <w:r>
        <w:rPr>
          <w:spacing w:val="-13"/>
        </w:rPr>
        <w:t xml:space="preserve"> </w:t>
      </w:r>
      <w:r>
        <w:t>fee.</w:t>
      </w:r>
      <w:r>
        <w:rPr>
          <w:spacing w:val="28"/>
        </w:rPr>
        <w:t xml:space="preserve"> </w:t>
      </w:r>
      <w:r>
        <w:t xml:space="preserve">Accordingly, the client should review both the fees charged by the third-party managers </w:t>
      </w:r>
      <w:r>
        <w:rPr>
          <w:spacing w:val="-4"/>
        </w:rPr>
        <w:t xml:space="preserve">and </w:t>
      </w:r>
      <w:r>
        <w:t>the fees charged</w:t>
      </w:r>
      <w:r>
        <w:rPr>
          <w:spacing w:val="-10"/>
        </w:rPr>
        <w:t xml:space="preserve"> </w:t>
      </w:r>
      <w:r>
        <w:t>by</w:t>
      </w:r>
      <w:r>
        <w:rPr>
          <w:spacing w:val="-12"/>
        </w:rPr>
        <w:t xml:space="preserve"> </w:t>
      </w:r>
      <w:r>
        <w:t>Adviser</w:t>
      </w:r>
      <w:r>
        <w:rPr>
          <w:spacing w:val="-9"/>
        </w:rPr>
        <w:t xml:space="preserve"> </w:t>
      </w:r>
      <w:r>
        <w:t>to</w:t>
      </w:r>
      <w:r>
        <w:rPr>
          <w:spacing w:val="-10"/>
        </w:rPr>
        <w:t xml:space="preserve"> </w:t>
      </w:r>
      <w:r>
        <w:t>fully</w:t>
      </w:r>
      <w:r>
        <w:rPr>
          <w:spacing w:val="-11"/>
        </w:rPr>
        <w:t xml:space="preserve"> </w:t>
      </w:r>
      <w:r>
        <w:t>understand</w:t>
      </w:r>
      <w:r>
        <w:rPr>
          <w:spacing w:val="-8"/>
        </w:rPr>
        <w:t xml:space="preserve"> </w:t>
      </w:r>
      <w:r>
        <w:t>the</w:t>
      </w:r>
      <w:r>
        <w:rPr>
          <w:spacing w:val="-14"/>
        </w:rPr>
        <w:t xml:space="preserve"> </w:t>
      </w:r>
      <w:r>
        <w:t>total</w:t>
      </w:r>
      <w:r>
        <w:rPr>
          <w:spacing w:val="-9"/>
        </w:rPr>
        <w:t xml:space="preserve"> </w:t>
      </w:r>
      <w:r>
        <w:t>amount</w:t>
      </w:r>
      <w:r>
        <w:rPr>
          <w:spacing w:val="-9"/>
        </w:rPr>
        <w:t xml:space="preserve"> </w:t>
      </w:r>
      <w:r>
        <w:t>of</w:t>
      </w:r>
      <w:r>
        <w:rPr>
          <w:spacing w:val="-13"/>
        </w:rPr>
        <w:t xml:space="preserve"> </w:t>
      </w:r>
      <w:r>
        <w:t>fees</w:t>
      </w:r>
      <w:r>
        <w:rPr>
          <w:spacing w:val="-13"/>
        </w:rPr>
        <w:t xml:space="preserve"> </w:t>
      </w:r>
      <w:r>
        <w:t>to</w:t>
      </w:r>
      <w:r>
        <w:rPr>
          <w:spacing w:val="-9"/>
        </w:rPr>
        <w:t xml:space="preserve"> </w:t>
      </w:r>
      <w:r>
        <w:t>be</w:t>
      </w:r>
      <w:r>
        <w:rPr>
          <w:spacing w:val="-8"/>
        </w:rPr>
        <w:t xml:space="preserve"> </w:t>
      </w:r>
      <w:r>
        <w:t>paid</w:t>
      </w:r>
      <w:r>
        <w:rPr>
          <w:spacing w:val="-10"/>
        </w:rPr>
        <w:t xml:space="preserve"> </w:t>
      </w:r>
      <w:r>
        <w:t>by</w:t>
      </w:r>
      <w:r>
        <w:rPr>
          <w:spacing w:val="-12"/>
        </w:rPr>
        <w:t xml:space="preserve"> </w:t>
      </w:r>
      <w:r>
        <w:t>the</w:t>
      </w:r>
      <w:r>
        <w:rPr>
          <w:spacing w:val="-8"/>
        </w:rPr>
        <w:t xml:space="preserve"> </w:t>
      </w:r>
      <w:r>
        <w:rPr>
          <w:spacing w:val="-3"/>
        </w:rPr>
        <w:t>client</w:t>
      </w:r>
      <w:r>
        <w:rPr>
          <w:spacing w:val="-11"/>
        </w:rPr>
        <w:t xml:space="preserve"> </w:t>
      </w:r>
      <w:r>
        <w:t>and</w:t>
      </w:r>
      <w:r>
        <w:rPr>
          <w:spacing w:val="-5"/>
        </w:rPr>
        <w:t xml:space="preserve"> </w:t>
      </w:r>
      <w:r>
        <w:t>to thereby evaluate the advisory services being</w:t>
      </w:r>
      <w:r>
        <w:rPr>
          <w:spacing w:val="-5"/>
        </w:rPr>
        <w:t xml:space="preserve"> </w:t>
      </w:r>
      <w:r>
        <w:t>provided.</w:t>
      </w:r>
    </w:p>
    <w:p w14:paraId="4238F608" w14:textId="77777777" w:rsidR="00207CBB" w:rsidRDefault="00207CBB">
      <w:pPr>
        <w:pStyle w:val="BodyText"/>
        <w:spacing w:before="7"/>
      </w:pPr>
    </w:p>
    <w:p w14:paraId="1E4360DB" w14:textId="77777777" w:rsidR="00207CBB" w:rsidRDefault="007729F9">
      <w:pPr>
        <w:pStyle w:val="BodyText"/>
        <w:spacing w:line="237" w:lineRule="auto"/>
        <w:ind w:left="230" w:right="344"/>
      </w:pPr>
      <w:r>
        <w:lastRenderedPageBreak/>
        <w:t>If</w:t>
      </w:r>
      <w:r>
        <w:rPr>
          <w:spacing w:val="-18"/>
        </w:rPr>
        <w:t xml:space="preserve"> </w:t>
      </w:r>
      <w:r>
        <w:t>Adviser</w:t>
      </w:r>
      <w:r>
        <w:rPr>
          <w:spacing w:val="-15"/>
        </w:rPr>
        <w:t xml:space="preserve"> </w:t>
      </w:r>
      <w:r>
        <w:t>is</w:t>
      </w:r>
      <w:r>
        <w:rPr>
          <w:spacing w:val="-18"/>
        </w:rPr>
        <w:t xml:space="preserve"> </w:t>
      </w:r>
      <w:r>
        <w:t>trading</w:t>
      </w:r>
      <w:r>
        <w:rPr>
          <w:spacing w:val="-14"/>
        </w:rPr>
        <w:t xml:space="preserve"> </w:t>
      </w:r>
      <w:r>
        <w:t>over-the-counter</w:t>
      </w:r>
      <w:r>
        <w:rPr>
          <w:spacing w:val="-14"/>
        </w:rPr>
        <w:t xml:space="preserve"> </w:t>
      </w:r>
      <w:r>
        <w:t>securities</w:t>
      </w:r>
      <w:r>
        <w:rPr>
          <w:spacing w:val="-18"/>
        </w:rPr>
        <w:t xml:space="preserve"> </w:t>
      </w:r>
      <w:r>
        <w:t>(OTC)</w:t>
      </w:r>
      <w:r>
        <w:rPr>
          <w:spacing w:val="-14"/>
        </w:rPr>
        <w:t xml:space="preserve"> </w:t>
      </w:r>
      <w:r>
        <w:t>on</w:t>
      </w:r>
      <w:r>
        <w:rPr>
          <w:spacing w:val="-16"/>
        </w:rPr>
        <w:t xml:space="preserve"> </w:t>
      </w:r>
      <w:r>
        <w:t>the</w:t>
      </w:r>
      <w:r>
        <w:rPr>
          <w:spacing w:val="-17"/>
        </w:rPr>
        <w:t xml:space="preserve"> </w:t>
      </w:r>
      <w:r>
        <w:t>client’s</w:t>
      </w:r>
      <w:r>
        <w:rPr>
          <w:spacing w:val="-19"/>
        </w:rPr>
        <w:t xml:space="preserve"> </w:t>
      </w:r>
      <w:r>
        <w:t>behalf,</w:t>
      </w:r>
      <w:r>
        <w:rPr>
          <w:spacing w:val="-17"/>
        </w:rPr>
        <w:t xml:space="preserve"> </w:t>
      </w:r>
      <w:r>
        <w:t>it</w:t>
      </w:r>
      <w:r>
        <w:rPr>
          <w:spacing w:val="-17"/>
        </w:rPr>
        <w:t xml:space="preserve"> </w:t>
      </w:r>
      <w:r>
        <w:t>is</w:t>
      </w:r>
      <w:r>
        <w:rPr>
          <w:spacing w:val="-18"/>
        </w:rPr>
        <w:t xml:space="preserve"> </w:t>
      </w:r>
      <w:r>
        <w:t>possible</w:t>
      </w:r>
      <w:r>
        <w:rPr>
          <w:spacing w:val="-17"/>
        </w:rPr>
        <w:t xml:space="preserve"> </w:t>
      </w:r>
      <w:r>
        <w:t>that a transaction will incur additional</w:t>
      </w:r>
      <w:r>
        <w:rPr>
          <w:spacing w:val="-30"/>
        </w:rPr>
        <w:t xml:space="preserve"> </w:t>
      </w:r>
      <w:r>
        <w:t>fees.</w:t>
      </w:r>
    </w:p>
    <w:p w14:paraId="19E78422" w14:textId="77777777" w:rsidR="00207CBB" w:rsidRDefault="00207CBB">
      <w:pPr>
        <w:pStyle w:val="BodyText"/>
        <w:spacing w:before="3"/>
      </w:pPr>
    </w:p>
    <w:p w14:paraId="61C4C645" w14:textId="77777777" w:rsidR="00207CBB" w:rsidRDefault="007729F9">
      <w:pPr>
        <w:pStyle w:val="BodyText"/>
        <w:spacing w:before="41"/>
        <w:ind w:left="230" w:right="337"/>
      </w:pPr>
      <w:r>
        <w:t>Clients may incur custodian fees, brokerage, and other transaction costs (see Item 12, Brokerage Practices, Page 11). Advice offered could involve investments in mutual funds. All fees paid for</w:t>
      </w:r>
      <w:r>
        <w:rPr>
          <w:spacing w:val="-8"/>
        </w:rPr>
        <w:t xml:space="preserve"> </w:t>
      </w:r>
      <w:r>
        <w:t>asset</w:t>
      </w:r>
      <w:r>
        <w:rPr>
          <w:spacing w:val="-9"/>
        </w:rPr>
        <w:t xml:space="preserve"> </w:t>
      </w:r>
      <w:r>
        <w:t>management</w:t>
      </w:r>
      <w:r>
        <w:rPr>
          <w:spacing w:val="-8"/>
        </w:rPr>
        <w:t xml:space="preserve"> </w:t>
      </w:r>
      <w:r>
        <w:t>services</w:t>
      </w:r>
      <w:r>
        <w:rPr>
          <w:spacing w:val="-11"/>
        </w:rPr>
        <w:t xml:space="preserve"> </w:t>
      </w:r>
      <w:r>
        <w:t>are</w:t>
      </w:r>
      <w:r>
        <w:rPr>
          <w:spacing w:val="-6"/>
        </w:rPr>
        <w:t xml:space="preserve"> </w:t>
      </w:r>
      <w:r>
        <w:t>separate</w:t>
      </w:r>
      <w:r>
        <w:rPr>
          <w:spacing w:val="-6"/>
        </w:rPr>
        <w:t xml:space="preserve"> </w:t>
      </w:r>
      <w:r>
        <w:t>and</w:t>
      </w:r>
      <w:r>
        <w:rPr>
          <w:spacing w:val="-7"/>
        </w:rPr>
        <w:t xml:space="preserve"> </w:t>
      </w:r>
      <w:r>
        <w:t>distinct</w:t>
      </w:r>
      <w:r>
        <w:rPr>
          <w:spacing w:val="-9"/>
        </w:rPr>
        <w:t xml:space="preserve"> </w:t>
      </w:r>
      <w:r>
        <w:t>from</w:t>
      </w:r>
      <w:r>
        <w:rPr>
          <w:spacing w:val="-7"/>
        </w:rPr>
        <w:t xml:space="preserve"> </w:t>
      </w:r>
      <w:r>
        <w:t>the</w:t>
      </w:r>
      <w:r>
        <w:rPr>
          <w:spacing w:val="-11"/>
        </w:rPr>
        <w:t xml:space="preserve"> </w:t>
      </w:r>
      <w:r>
        <w:t>fees</w:t>
      </w:r>
      <w:r>
        <w:rPr>
          <w:spacing w:val="-11"/>
        </w:rPr>
        <w:t xml:space="preserve"> </w:t>
      </w:r>
      <w:r>
        <w:t>and</w:t>
      </w:r>
      <w:r>
        <w:rPr>
          <w:spacing w:val="-7"/>
        </w:rPr>
        <w:t xml:space="preserve"> </w:t>
      </w:r>
      <w:r>
        <w:t>expenses</w:t>
      </w:r>
      <w:r>
        <w:rPr>
          <w:spacing w:val="-12"/>
        </w:rPr>
        <w:t xml:space="preserve"> </w:t>
      </w:r>
      <w:r>
        <w:t>charged by</w:t>
      </w:r>
      <w:r>
        <w:rPr>
          <w:spacing w:val="-8"/>
        </w:rPr>
        <w:t xml:space="preserve"> </w:t>
      </w:r>
      <w:r>
        <w:t>mutual</w:t>
      </w:r>
      <w:r>
        <w:rPr>
          <w:spacing w:val="-6"/>
        </w:rPr>
        <w:t xml:space="preserve"> </w:t>
      </w:r>
      <w:r>
        <w:t>funds</w:t>
      </w:r>
      <w:r>
        <w:rPr>
          <w:spacing w:val="-10"/>
        </w:rPr>
        <w:t xml:space="preserve"> </w:t>
      </w:r>
      <w:r>
        <w:t>(described</w:t>
      </w:r>
      <w:r>
        <w:rPr>
          <w:spacing w:val="-6"/>
        </w:rPr>
        <w:t xml:space="preserve"> </w:t>
      </w:r>
      <w:r>
        <w:t>in</w:t>
      </w:r>
      <w:r>
        <w:rPr>
          <w:spacing w:val="-2"/>
        </w:rPr>
        <w:t xml:space="preserve"> </w:t>
      </w:r>
      <w:r>
        <w:t>each</w:t>
      </w:r>
      <w:r>
        <w:rPr>
          <w:spacing w:val="-6"/>
        </w:rPr>
        <w:t xml:space="preserve"> </w:t>
      </w:r>
      <w:r>
        <w:t>mutual</w:t>
      </w:r>
      <w:r>
        <w:rPr>
          <w:spacing w:val="-6"/>
        </w:rPr>
        <w:t xml:space="preserve"> </w:t>
      </w:r>
      <w:r>
        <w:t>fund's</w:t>
      </w:r>
      <w:r>
        <w:rPr>
          <w:spacing w:val="-9"/>
        </w:rPr>
        <w:t xml:space="preserve"> </w:t>
      </w:r>
      <w:r>
        <w:t>prospectus)</w:t>
      </w:r>
      <w:r>
        <w:rPr>
          <w:spacing w:val="-6"/>
        </w:rPr>
        <w:t xml:space="preserve"> </w:t>
      </w:r>
      <w:r>
        <w:t>to</w:t>
      </w:r>
      <w:r>
        <w:rPr>
          <w:spacing w:val="-5"/>
        </w:rPr>
        <w:t xml:space="preserve"> </w:t>
      </w:r>
      <w:r>
        <w:t>their</w:t>
      </w:r>
      <w:r>
        <w:rPr>
          <w:spacing w:val="-6"/>
        </w:rPr>
        <w:t xml:space="preserve"> </w:t>
      </w:r>
      <w:r>
        <w:t>shareholders.</w:t>
      </w:r>
      <w:r>
        <w:rPr>
          <w:spacing w:val="27"/>
        </w:rPr>
        <w:t xml:space="preserve"> </w:t>
      </w:r>
      <w:r>
        <w:t>Clients whose assets are invested in the shares of mutual funds pay with a direct management fee to the investment adviser and an indirect management fee through the mutual fund. Clients have the option to purchase investment products that the Adviser recommends through other custodians or agents that are not affiliated with the Adviser. Adviser reserves the discretion to waive or adjust fees as appropriate for particular client situations.</w:t>
      </w:r>
    </w:p>
    <w:p w14:paraId="54F72E91" w14:textId="77777777" w:rsidR="00207CBB" w:rsidRDefault="00207CBB">
      <w:pPr>
        <w:pStyle w:val="BodyText"/>
        <w:rPr>
          <w:sz w:val="25"/>
        </w:rPr>
      </w:pPr>
    </w:p>
    <w:p w14:paraId="29C240ED" w14:textId="77777777" w:rsidR="00207CBB" w:rsidRDefault="007729F9">
      <w:pPr>
        <w:pStyle w:val="Heading1"/>
        <w:ind w:left="0" w:firstLine="230"/>
        <w:jc w:val="left"/>
      </w:pPr>
      <w:bookmarkStart w:id="8" w:name="_Toc201066078"/>
      <w:r>
        <w:t>Item 6: Performance Based Fees &amp; Side-By-Side Management</w:t>
      </w:r>
      <w:bookmarkEnd w:id="8"/>
    </w:p>
    <w:p w14:paraId="1C418C2E" w14:textId="77777777" w:rsidR="00207CBB" w:rsidRDefault="00207CBB">
      <w:pPr>
        <w:ind w:left="230"/>
        <w:rPr>
          <w:b/>
          <w:sz w:val="28"/>
          <w:u w:val="single"/>
        </w:rPr>
      </w:pPr>
    </w:p>
    <w:p w14:paraId="19AB9083" w14:textId="77777777" w:rsidR="00207CBB" w:rsidRDefault="007729F9">
      <w:pPr>
        <w:pStyle w:val="BodyText"/>
        <w:spacing w:before="27" w:line="254" w:lineRule="auto"/>
        <w:ind w:left="230" w:right="221"/>
      </w:pPr>
      <w:r>
        <w:t>The</w:t>
      </w:r>
      <w:r>
        <w:rPr>
          <w:spacing w:val="-14"/>
        </w:rPr>
        <w:t xml:space="preserve"> </w:t>
      </w:r>
      <w:r>
        <w:t>Adviser</w:t>
      </w:r>
      <w:r>
        <w:rPr>
          <w:spacing w:val="-12"/>
        </w:rPr>
        <w:t xml:space="preserve"> </w:t>
      </w:r>
      <w:r>
        <w:t>does</w:t>
      </w:r>
      <w:r>
        <w:rPr>
          <w:spacing w:val="-14"/>
        </w:rPr>
        <w:t xml:space="preserve"> </w:t>
      </w:r>
      <w:r>
        <w:t>not</w:t>
      </w:r>
      <w:r>
        <w:rPr>
          <w:spacing w:val="-12"/>
        </w:rPr>
        <w:t xml:space="preserve"> </w:t>
      </w:r>
      <w:r>
        <w:t>charge</w:t>
      </w:r>
      <w:r>
        <w:rPr>
          <w:spacing w:val="-14"/>
        </w:rPr>
        <w:t xml:space="preserve"> </w:t>
      </w:r>
      <w:r>
        <w:t>Performance-Based</w:t>
      </w:r>
      <w:r>
        <w:rPr>
          <w:spacing w:val="-11"/>
        </w:rPr>
        <w:t xml:space="preserve"> </w:t>
      </w:r>
      <w:r>
        <w:t>fees</w:t>
      </w:r>
      <w:r>
        <w:rPr>
          <w:spacing w:val="-10"/>
        </w:rPr>
        <w:t xml:space="preserve"> </w:t>
      </w:r>
      <w:r>
        <w:t>so</w:t>
      </w:r>
      <w:r>
        <w:rPr>
          <w:spacing w:val="-10"/>
        </w:rPr>
        <w:t xml:space="preserve"> </w:t>
      </w:r>
      <w:r>
        <w:t>there</w:t>
      </w:r>
      <w:r>
        <w:rPr>
          <w:spacing w:val="-14"/>
        </w:rPr>
        <w:t xml:space="preserve"> </w:t>
      </w:r>
      <w:r>
        <w:t>is</w:t>
      </w:r>
      <w:r>
        <w:rPr>
          <w:spacing w:val="-10"/>
        </w:rPr>
        <w:t xml:space="preserve"> </w:t>
      </w:r>
      <w:r>
        <w:t>no</w:t>
      </w:r>
      <w:r>
        <w:rPr>
          <w:spacing w:val="-10"/>
        </w:rPr>
        <w:t xml:space="preserve"> </w:t>
      </w:r>
      <w:r>
        <w:t>side-by-side-management of</w:t>
      </w:r>
      <w:r>
        <w:rPr>
          <w:spacing w:val="-2"/>
        </w:rPr>
        <w:t xml:space="preserve"> </w:t>
      </w:r>
      <w:r>
        <w:t>accounts.</w:t>
      </w:r>
    </w:p>
    <w:p w14:paraId="65D3B639" w14:textId="77777777" w:rsidR="00207CBB" w:rsidRDefault="00207CBB">
      <w:pPr>
        <w:pStyle w:val="BodyText"/>
        <w:spacing w:before="6"/>
      </w:pPr>
    </w:p>
    <w:p w14:paraId="0602913C" w14:textId="77777777" w:rsidR="00207CBB" w:rsidRDefault="007729F9">
      <w:pPr>
        <w:pStyle w:val="Heading1"/>
        <w:ind w:left="0" w:firstLine="230"/>
        <w:jc w:val="left"/>
      </w:pPr>
      <w:bookmarkStart w:id="9" w:name="_bookmark5"/>
      <w:bookmarkStart w:id="10" w:name="_Toc201066079"/>
      <w:bookmarkEnd w:id="9"/>
      <w:r>
        <w:t>Item 7: Types of Clients</w:t>
      </w:r>
      <w:bookmarkEnd w:id="10"/>
    </w:p>
    <w:p w14:paraId="2B8A6D2F" w14:textId="77777777" w:rsidR="00207CBB" w:rsidRDefault="00207CBB">
      <w:pPr>
        <w:ind w:left="230"/>
        <w:rPr>
          <w:b/>
          <w:sz w:val="28"/>
          <w:u w:val="single"/>
        </w:rPr>
      </w:pPr>
    </w:p>
    <w:p w14:paraId="788B7B5D" w14:textId="77777777" w:rsidR="00207CBB" w:rsidRDefault="007729F9">
      <w:pPr>
        <w:pStyle w:val="BodyText"/>
        <w:spacing w:before="7"/>
        <w:ind w:left="234" w:right="348"/>
      </w:pPr>
      <w:r>
        <w:t>The Adviser is an independent, fee-only registered investment advisory firm providing customized portfolio management to private individuals, families, trusts, estates, charitable organizations, and institutions. Adviser also provides financial planning services to its clients. Any account minimums are discussed in Item 5, Fees and Compensation.</w:t>
      </w:r>
    </w:p>
    <w:p w14:paraId="1A089014" w14:textId="77777777" w:rsidR="00207CBB" w:rsidRDefault="00207CBB">
      <w:pPr>
        <w:rPr>
          <w:sz w:val="24"/>
          <w:szCs w:val="24"/>
        </w:rPr>
      </w:pPr>
      <w:bookmarkStart w:id="11" w:name="_bookmark6"/>
      <w:bookmarkEnd w:id="11"/>
    </w:p>
    <w:p w14:paraId="558C1B51" w14:textId="77777777" w:rsidR="00207CBB" w:rsidRDefault="007729F9">
      <w:pPr>
        <w:pStyle w:val="Heading1"/>
        <w:ind w:left="230"/>
        <w:jc w:val="left"/>
      </w:pPr>
      <w:bookmarkStart w:id="12" w:name="_Toc201066080"/>
      <w:r>
        <w:t>Item 8: Methods of Analysis, Investment Strategies, and Risk of Loss</w:t>
      </w:r>
      <w:bookmarkEnd w:id="12"/>
    </w:p>
    <w:p w14:paraId="7B00DA46" w14:textId="77777777" w:rsidR="00207CBB" w:rsidRDefault="00207CBB">
      <w:pPr>
        <w:ind w:left="234"/>
        <w:rPr>
          <w:b/>
          <w:sz w:val="28"/>
          <w:u w:val="single"/>
        </w:rPr>
      </w:pPr>
    </w:p>
    <w:p w14:paraId="6AC2A630" w14:textId="77777777" w:rsidR="00207CBB" w:rsidRDefault="007729F9">
      <w:pPr>
        <w:pStyle w:val="BodyText"/>
        <w:spacing w:before="8"/>
        <w:ind w:left="230" w:right="337"/>
      </w:pPr>
      <w:r>
        <w:t xml:space="preserve">Adviser typically uses fundamental, technical and quantitative analysis to assist </w:t>
      </w:r>
      <w:r>
        <w:rPr>
          <w:spacing w:val="-4"/>
        </w:rPr>
        <w:t xml:space="preserve">with </w:t>
      </w:r>
      <w:r>
        <w:t>investment decisions. The main sources are financial publications, research material prepared</w:t>
      </w:r>
      <w:r>
        <w:rPr>
          <w:spacing w:val="-18"/>
        </w:rPr>
        <w:t xml:space="preserve"> </w:t>
      </w:r>
      <w:r>
        <w:t>by</w:t>
      </w:r>
      <w:r>
        <w:rPr>
          <w:spacing w:val="-19"/>
        </w:rPr>
        <w:t xml:space="preserve"> </w:t>
      </w:r>
      <w:r>
        <w:t>investment</w:t>
      </w:r>
      <w:r>
        <w:rPr>
          <w:spacing w:val="-17"/>
        </w:rPr>
        <w:t xml:space="preserve"> </w:t>
      </w:r>
      <w:r>
        <w:t>management</w:t>
      </w:r>
      <w:r>
        <w:rPr>
          <w:spacing w:val="-12"/>
        </w:rPr>
        <w:t xml:space="preserve"> </w:t>
      </w:r>
      <w:r>
        <w:t>firms,</w:t>
      </w:r>
      <w:r>
        <w:rPr>
          <w:spacing w:val="-19"/>
        </w:rPr>
        <w:t xml:space="preserve"> </w:t>
      </w:r>
      <w:r>
        <w:t>CFA</w:t>
      </w:r>
      <w:r>
        <w:rPr>
          <w:spacing w:val="-15"/>
        </w:rPr>
        <w:t xml:space="preserve"> </w:t>
      </w:r>
      <w:r>
        <w:t>publications,</w:t>
      </w:r>
      <w:r>
        <w:rPr>
          <w:spacing w:val="-19"/>
        </w:rPr>
        <w:t xml:space="preserve"> </w:t>
      </w:r>
      <w:r>
        <w:t>Federal</w:t>
      </w:r>
      <w:r>
        <w:rPr>
          <w:spacing w:val="-16"/>
        </w:rPr>
        <w:t xml:space="preserve"> </w:t>
      </w:r>
      <w:r>
        <w:t>Reserve</w:t>
      </w:r>
      <w:r>
        <w:rPr>
          <w:spacing w:val="-15"/>
        </w:rPr>
        <w:t xml:space="preserve"> </w:t>
      </w:r>
      <w:r>
        <w:t>sources,</w:t>
      </w:r>
      <w:r>
        <w:rPr>
          <w:spacing w:val="-19"/>
        </w:rPr>
        <w:t xml:space="preserve"> </w:t>
      </w:r>
      <w:r>
        <w:t xml:space="preserve">third party due diligence platforms (i.e. Morningstar and Thompson/Reuters), corporate </w:t>
      </w:r>
      <w:r>
        <w:rPr>
          <w:spacing w:val="-4"/>
        </w:rPr>
        <w:t xml:space="preserve">rating </w:t>
      </w:r>
      <w:r>
        <w:t xml:space="preserve">services, company press releases, and annual reports, prospectuses, and SEC filings. </w:t>
      </w:r>
      <w:r>
        <w:rPr>
          <w:spacing w:val="-3"/>
        </w:rPr>
        <w:t xml:space="preserve">The </w:t>
      </w:r>
      <w:r>
        <w:t>investment strategies used to implement advice include long and short-term purchases, short- term trading, short sales, margin transactions, structured notes, and option writing, including covered options, uncovered options or spreading</w:t>
      </w:r>
      <w:r>
        <w:rPr>
          <w:spacing w:val="-7"/>
        </w:rPr>
        <w:t xml:space="preserve"> </w:t>
      </w:r>
      <w:r>
        <w:t>strategies.</w:t>
      </w:r>
    </w:p>
    <w:p w14:paraId="486E7BE5" w14:textId="77777777" w:rsidR="00207CBB" w:rsidRDefault="00207CBB">
      <w:pPr>
        <w:pStyle w:val="BodyText"/>
        <w:spacing w:before="2"/>
      </w:pPr>
    </w:p>
    <w:p w14:paraId="5193CEB7" w14:textId="77777777" w:rsidR="00207CBB" w:rsidRDefault="007729F9">
      <w:pPr>
        <w:pStyle w:val="BodyText"/>
        <w:spacing w:before="1"/>
        <w:ind w:left="230" w:right="341"/>
      </w:pPr>
      <w:r>
        <w:t>Adviser’s method of analysis relies on the assumption that the companies whose securities we purchase and sell, the rating agencies that review these securities, and other publicly- available</w:t>
      </w:r>
      <w:r>
        <w:rPr>
          <w:spacing w:val="-2"/>
        </w:rPr>
        <w:t xml:space="preserve"> </w:t>
      </w:r>
      <w:r>
        <w:t>sources</w:t>
      </w:r>
      <w:r>
        <w:rPr>
          <w:spacing w:val="-9"/>
        </w:rPr>
        <w:t xml:space="preserve"> </w:t>
      </w:r>
      <w:r>
        <w:t>of</w:t>
      </w:r>
      <w:r>
        <w:rPr>
          <w:spacing w:val="-9"/>
        </w:rPr>
        <w:t xml:space="preserve"> </w:t>
      </w:r>
      <w:r>
        <w:t>information</w:t>
      </w:r>
      <w:r>
        <w:rPr>
          <w:spacing w:val="-7"/>
        </w:rPr>
        <w:t xml:space="preserve"> </w:t>
      </w:r>
      <w:r>
        <w:t>about</w:t>
      </w:r>
      <w:r>
        <w:rPr>
          <w:spacing w:val="-12"/>
        </w:rPr>
        <w:t xml:space="preserve"> </w:t>
      </w:r>
      <w:r>
        <w:t>these</w:t>
      </w:r>
      <w:r>
        <w:rPr>
          <w:spacing w:val="-10"/>
        </w:rPr>
        <w:t xml:space="preserve"> </w:t>
      </w:r>
      <w:r>
        <w:t>securities,</w:t>
      </w:r>
      <w:r>
        <w:rPr>
          <w:spacing w:val="-8"/>
        </w:rPr>
        <w:t xml:space="preserve"> </w:t>
      </w:r>
      <w:r>
        <w:t>are</w:t>
      </w:r>
      <w:r>
        <w:rPr>
          <w:spacing w:val="-11"/>
        </w:rPr>
        <w:t xml:space="preserve"> </w:t>
      </w:r>
      <w:r>
        <w:t>providing</w:t>
      </w:r>
      <w:r>
        <w:rPr>
          <w:spacing w:val="-5"/>
        </w:rPr>
        <w:t xml:space="preserve"> </w:t>
      </w:r>
      <w:r>
        <w:t>accurate</w:t>
      </w:r>
      <w:r>
        <w:rPr>
          <w:spacing w:val="-9"/>
        </w:rPr>
        <w:t xml:space="preserve"> </w:t>
      </w:r>
      <w:r>
        <w:t>and</w:t>
      </w:r>
      <w:r>
        <w:rPr>
          <w:spacing w:val="-12"/>
        </w:rPr>
        <w:t xml:space="preserve"> </w:t>
      </w:r>
      <w:r>
        <w:t xml:space="preserve">unbiased data. While the Adviser </w:t>
      </w:r>
      <w:r>
        <w:rPr>
          <w:spacing w:val="2"/>
        </w:rPr>
        <w:t xml:space="preserve">is </w:t>
      </w:r>
      <w:r>
        <w:t>alert to indications that data could be incorrect, there is always a risk that our analysis could be compromised by inaccurate or misleading</w:t>
      </w:r>
      <w:r>
        <w:rPr>
          <w:spacing w:val="-13"/>
        </w:rPr>
        <w:t xml:space="preserve"> </w:t>
      </w:r>
      <w:r>
        <w:t>information.</w:t>
      </w:r>
    </w:p>
    <w:p w14:paraId="2E6E2A1C" w14:textId="77777777" w:rsidR="00207CBB" w:rsidRDefault="00207CBB">
      <w:pPr>
        <w:pStyle w:val="BodyText"/>
        <w:spacing w:before="1"/>
      </w:pPr>
    </w:p>
    <w:p w14:paraId="53522FAA" w14:textId="77777777" w:rsidR="00207CBB" w:rsidRDefault="007729F9">
      <w:pPr>
        <w:pStyle w:val="BodyText"/>
        <w:spacing w:before="1"/>
        <w:ind w:left="230" w:right="337"/>
      </w:pPr>
      <w:r>
        <w:t xml:space="preserve">Investing in securities involves a significant risk of loss which clients should be prepared to bear. Adviser’s investment recommendations are subject to various market, currency, </w:t>
      </w:r>
      <w:r>
        <w:lastRenderedPageBreak/>
        <w:t>economic, political and business risks, and such investment decisions will not always be profitable. Clients should be aware that there may be a loss or depreciation to the value of the client’s account. There can be no assurance that the client’s investment objectives will be obtained and no inference to the contrary should be made.</w:t>
      </w:r>
    </w:p>
    <w:p w14:paraId="12FB6F24" w14:textId="77777777" w:rsidR="00207CBB" w:rsidRDefault="00207CBB">
      <w:pPr>
        <w:pStyle w:val="BodyText"/>
        <w:spacing w:before="1"/>
        <w:ind w:left="230" w:right="337"/>
      </w:pPr>
    </w:p>
    <w:p w14:paraId="52E37E83" w14:textId="77777777" w:rsidR="00207CBB" w:rsidRDefault="007729F9">
      <w:pPr>
        <w:pStyle w:val="BodyText"/>
        <w:spacing w:before="1"/>
        <w:ind w:left="230" w:right="337"/>
      </w:pPr>
      <w:r>
        <w:t>Generally, the market value of equity stocks will fluctuate with market conditions, and small- stock prices generally will fluctuate more than large-stock prices. The market value of fixed income securities will generally fluctuate inversely with interest rates and other market conditions prior to maturity. Fixed income securities are obligations of the issuer to make payments of principal and/or interest on future dates, and include, among other securities: bonds, notes and debentures issued by corporations; debt securities issued or guaranteed by the U.S. government or one of its agencies or instrumentalities, or by a non-U.S. government or one of its agencies or instrumentalities; municipal securities; and mortgage-backed and asset- backed securities.  These securities may pay fixed, variable, or floating rates of interest, and may include zero coupon obligations and inflation-linked fixed income securities. The value of longer duration fixed income securities will generally fluctuate more than shorter duration fixed income securities. Investments in overseas markets also pose special risks, including currency fluctuation and political risks, and it may be more volatile than that of a U.S. only investment. Such risks are generally intensified for investments in emerging markets. In addition, there is no assurance that a mutual fund or ETF will achieve its investment objective. Past performance of investments is no guarantee of future results.</w:t>
      </w:r>
    </w:p>
    <w:p w14:paraId="7C793789" w14:textId="77777777" w:rsidR="00207CBB" w:rsidRDefault="00207CBB">
      <w:pPr>
        <w:rPr>
          <w:sz w:val="24"/>
          <w:szCs w:val="24"/>
        </w:rPr>
      </w:pPr>
    </w:p>
    <w:p w14:paraId="51547BB4" w14:textId="77777777" w:rsidR="00207CBB" w:rsidRDefault="007729F9">
      <w:pPr>
        <w:pStyle w:val="BodyText"/>
        <w:spacing w:before="1"/>
        <w:ind w:left="230" w:right="337"/>
      </w:pPr>
      <w:r>
        <w:t xml:space="preserve">Additional risks involved in the securities recommended by Adviser include, among others: </w:t>
      </w:r>
    </w:p>
    <w:p w14:paraId="311A88D3" w14:textId="77777777" w:rsidR="00207CBB" w:rsidRDefault="00207CBB">
      <w:pPr>
        <w:pStyle w:val="BodyText"/>
        <w:spacing w:before="1"/>
        <w:ind w:left="230" w:right="337"/>
      </w:pPr>
    </w:p>
    <w:p w14:paraId="61FFD7B9" w14:textId="77777777" w:rsidR="00207CBB" w:rsidRDefault="007729F9">
      <w:pPr>
        <w:pStyle w:val="BodyText"/>
        <w:spacing w:before="1"/>
        <w:ind w:left="720" w:right="337" w:hanging="490"/>
      </w:pPr>
      <w:r>
        <w:t>•</w:t>
      </w:r>
      <w:r>
        <w:tab/>
        <w:t>Stock market risk, which is the chance that stock prices overall will decline. The market value of equity securities will generally fluctuate with market conditions. Stock markets tend to move in cycles, with periods of rising prices and periods of falling prices. Prices of equity securities tend to fluctuate over the short term as a result of factors affecting the individual companies, industries or the securities market as a whole. Equity securities generally have greater price volatility than fixed income securities.</w:t>
      </w:r>
    </w:p>
    <w:p w14:paraId="2F03C294" w14:textId="77777777" w:rsidR="00207CBB" w:rsidRDefault="007729F9">
      <w:pPr>
        <w:pStyle w:val="BodyText"/>
        <w:spacing w:before="1"/>
        <w:ind w:left="720" w:right="337" w:hanging="490"/>
      </w:pPr>
      <w:r>
        <w:t>•</w:t>
      </w:r>
      <w:r>
        <w:tab/>
        <w:t>Sector risk, which is the chance that significant problems will affect a particular sector, or that returns from that sector will trail returns from the overall stock market. Daily fluctuations in specific market sectors are often more extreme than fluctuations in the overall market.</w:t>
      </w:r>
    </w:p>
    <w:p w14:paraId="3E4C7099" w14:textId="77777777" w:rsidR="00207CBB" w:rsidRDefault="007729F9">
      <w:pPr>
        <w:pStyle w:val="BodyText"/>
        <w:spacing w:before="1"/>
        <w:ind w:left="720" w:right="337" w:hanging="490"/>
      </w:pPr>
      <w:r>
        <w:t>•</w:t>
      </w:r>
      <w:r>
        <w:tab/>
        <w:t>Issuer risk, which is the risk that the value of a security will decline for reasons directly related to the issuer, such as management performance, financial leverage, and reduced demand for the issuer's goods or services.</w:t>
      </w:r>
    </w:p>
    <w:p w14:paraId="15886657" w14:textId="77777777" w:rsidR="00207CBB" w:rsidRDefault="007729F9">
      <w:pPr>
        <w:pStyle w:val="BodyText"/>
        <w:numPr>
          <w:ilvl w:val="0"/>
          <w:numId w:val="11"/>
        </w:numPr>
        <w:spacing w:before="1"/>
        <w:ind w:right="337"/>
      </w:pPr>
      <w:r>
        <w:t>Non-diversification risk, which is the risk of focusing investments in a small number of issuers, industries or foreign currencies, including being more susceptible to risks associated with a single economic, political or regulatory occurrence than a more diversified portfolio might be.</w:t>
      </w:r>
    </w:p>
    <w:p w14:paraId="2CCAD965" w14:textId="77777777" w:rsidR="00207CBB" w:rsidRDefault="007729F9">
      <w:pPr>
        <w:pStyle w:val="BodyText"/>
        <w:spacing w:before="1"/>
        <w:ind w:left="720" w:right="337" w:hanging="490"/>
      </w:pPr>
      <w:r>
        <w:t>•</w:t>
      </w:r>
      <w:r>
        <w:tab/>
        <w:t xml:space="preserve">Value investing risk, which is the risk that value stocks not increase in price, not issue the anticipated stock dividends, or decline in price, either because the market fails to recognize the stock’s intrinsic value, or because the expected value was misgauged. If the market does not recognize that the securities are undervalued, the prices of those securities might not appreciate as anticipated. They also may decline in price even </w:t>
      </w:r>
      <w:r>
        <w:lastRenderedPageBreak/>
        <w:t>though in theory they are already undervalued. Value stocks are typically less volatile than growth stocks, but may lag behind growth stocks in an up market.</w:t>
      </w:r>
    </w:p>
    <w:p w14:paraId="7D02BD99" w14:textId="77777777" w:rsidR="00207CBB" w:rsidRDefault="007729F9">
      <w:pPr>
        <w:pStyle w:val="BodyText"/>
        <w:spacing w:before="1"/>
        <w:ind w:left="720" w:right="337" w:hanging="490"/>
      </w:pPr>
      <w:r>
        <w:t>•</w:t>
      </w:r>
      <w:r>
        <w:tab/>
        <w:t>Smaller company risk, which is the risk that the value of securities issued by a smaller company will go up or down, sometimes rapidly and unpredictably as compared to more widely held securities. Investments in smaller companies are subject to greater levels of credit, market and issuer risk.</w:t>
      </w:r>
    </w:p>
    <w:p w14:paraId="6D30827A" w14:textId="77777777" w:rsidR="00207CBB" w:rsidRDefault="007729F9">
      <w:pPr>
        <w:pStyle w:val="BodyText"/>
        <w:numPr>
          <w:ilvl w:val="0"/>
          <w:numId w:val="10"/>
        </w:numPr>
        <w:spacing w:before="1"/>
        <w:ind w:right="337"/>
      </w:pPr>
      <w:r>
        <w:t>Foreign (non-U.S.) investment risk, which is the risk that investing in foreign securities result in the portfolio experiencing more rapid and extreme changes in value than a portfolio that invests exclusively in securities of U.S. companies.  Risks associated with investing in foreign securities include fluctuations in the exchange rates of foreign currencies that may affect the U.S. dollar value of a security, the possibility of substantial price volatility as a result of political and economic instability in the foreign country, less public information about issuers of securities, different securities regulation, different accounting, auditing and financial reporting standards and less liquidity than in the U.S. markets</w:t>
      </w:r>
    </w:p>
    <w:p w14:paraId="790A71BC" w14:textId="77777777" w:rsidR="00207CBB" w:rsidRDefault="007729F9">
      <w:pPr>
        <w:pStyle w:val="BodyText"/>
        <w:numPr>
          <w:ilvl w:val="0"/>
          <w:numId w:val="10"/>
        </w:numPr>
        <w:spacing w:before="1"/>
        <w:ind w:right="337"/>
      </w:pPr>
      <w:r>
        <w:t xml:space="preserve">Exchange Traded Fund (ETF) risk, which is the risk of an investment in an ETF, including the possible loss of principal. ETFs typically trade on a securities exchange and the prices of their shares fluctuate throughout the day based on supply and demand, which may not correlate to their net asset values. Although ETF shares will be listed on an exchange, there can be no guarantee that an active trading market will develop or continue. Owning an ETF generally reflects the risks of owning the underlying securities it is designed to track. ETFs are also subject to secondary market trading risks. In addition, an ETF may not replicate exactly the performance of the </w:t>
      </w:r>
    </w:p>
    <w:p w14:paraId="20BA3D66" w14:textId="77777777" w:rsidR="00207CBB" w:rsidRDefault="007729F9">
      <w:pPr>
        <w:pStyle w:val="BodyText"/>
        <w:spacing w:before="1"/>
        <w:ind w:left="722" w:right="337"/>
      </w:pPr>
      <w:r>
        <w:t>index it seeks to track for a number of reasons, including transaction costs incurred by the ETF, the temporary unavailability of certain securities in the secondary market, or discrepancies between the ETF and the index with respect to weighting of securities or number of securities held.</w:t>
      </w:r>
    </w:p>
    <w:p w14:paraId="23D22E86" w14:textId="77777777" w:rsidR="00207CBB" w:rsidRDefault="007729F9">
      <w:pPr>
        <w:pStyle w:val="BodyText"/>
        <w:numPr>
          <w:ilvl w:val="0"/>
          <w:numId w:val="10"/>
        </w:numPr>
        <w:spacing w:before="1"/>
        <w:ind w:right="337"/>
      </w:pPr>
      <w:r>
        <w:t>Management risk, which is the risk that the investment techniques and risk analyses applied by Bedel Financial Consulting may not produce the desired results and that legislative, regulatory, or tax developments, affect the investment techniques available to Bedel Financial Consulting. There is no guarantee that a client’s investment objectives will be achieved.</w:t>
      </w:r>
    </w:p>
    <w:p w14:paraId="514F948F" w14:textId="77777777" w:rsidR="00207CBB" w:rsidRDefault="007729F9">
      <w:pPr>
        <w:pStyle w:val="BodyText"/>
        <w:numPr>
          <w:ilvl w:val="0"/>
          <w:numId w:val="10"/>
        </w:numPr>
        <w:spacing w:before="1"/>
        <w:ind w:right="337"/>
      </w:pPr>
      <w:r>
        <w:t>Investment Companies (“Mutual Funds”) risk, when an investor invests in mutual funds, the investor will bear additional expenses based on his/her pro rata share of the mutual fund’s operating expenses, including the management fees. The risk of owning a mutual fund generally reflects the risks of owning the underlying investments the mutual fund holds.</w:t>
      </w:r>
    </w:p>
    <w:p w14:paraId="75030F88" w14:textId="77777777" w:rsidR="00207CBB" w:rsidRDefault="007729F9">
      <w:pPr>
        <w:pStyle w:val="ListParagraph"/>
        <w:numPr>
          <w:ilvl w:val="0"/>
          <w:numId w:val="10"/>
        </w:numPr>
        <w:rPr>
          <w:rFonts w:ascii="Cambria Math" w:eastAsia="Cambria Math" w:hAnsi="Cambria Math" w:cs="Cambria Math"/>
          <w:sz w:val="24"/>
          <w:szCs w:val="24"/>
        </w:rPr>
      </w:pPr>
      <w:r>
        <w:rPr>
          <w:rFonts w:ascii="Cambria Math" w:eastAsia="Cambria Math" w:hAnsi="Cambria Math" w:cs="Cambria Math"/>
          <w:sz w:val="24"/>
          <w:szCs w:val="24"/>
        </w:rPr>
        <w:t>Closed-End Funds risk, Closed-end funds typically use a high degree of leverage. They may be diversified or non-diversified. Risks associated with closed-end fund investments include liquidity risk, credit risk, volatility and the risk of magnified losses resulting from the use of leverage.  Additionally, closed-end funds may trade below their net asset value.</w:t>
      </w:r>
    </w:p>
    <w:p w14:paraId="1177CF97" w14:textId="77777777" w:rsidR="00207CBB" w:rsidRDefault="007729F9">
      <w:pPr>
        <w:pStyle w:val="BodyText"/>
        <w:numPr>
          <w:ilvl w:val="0"/>
          <w:numId w:val="10"/>
        </w:numPr>
        <w:spacing w:before="1"/>
        <w:ind w:right="337"/>
      </w:pPr>
      <w:r>
        <w:t xml:space="preserve">Structured Notes risk -  </w:t>
      </w:r>
    </w:p>
    <w:p w14:paraId="3C639F02" w14:textId="77777777" w:rsidR="00207CBB" w:rsidRDefault="007729F9">
      <w:pPr>
        <w:pStyle w:val="BodyText"/>
        <w:numPr>
          <w:ilvl w:val="1"/>
          <w:numId w:val="10"/>
        </w:numPr>
        <w:spacing w:before="1"/>
        <w:ind w:right="337"/>
      </w:pPr>
      <w:r>
        <w:t xml:space="preserve">Complexity.  Structured notes are complex financial instruments.  Clients should understand the reference asset(s) or index(es) and determine how the note’s payoff structure incorporates such reference asset(s) or index(es) in calculating the note’s performance.  This payoff calculation may include leverage multiplied on the performance of the reference asset or index, protection from losses should the reference asset or index produce negative returns, and fees. </w:t>
      </w:r>
      <w:r>
        <w:lastRenderedPageBreak/>
        <w:t>Structured notes may have complicated payoff structures that can make it difficult for clients to accurately assess their value, risk and potential for growth through the term of the structured note.  Determining the performance of each note can be complex and this calculation can vary significantly from note to note depending on the structure.  Notes can be structured in a wide variety of ways.  Payoff structures can be leveraged, inverse, or inverse-leveraged, which may result in larger returns or losses.  Clients should carefully read the prospectus for a structured note to fully understand how the payoff on a note will be calculated and discuss these issues with [Name of Adviser].</w:t>
      </w:r>
    </w:p>
    <w:p w14:paraId="54D7F0AF" w14:textId="77777777" w:rsidR="00207CBB" w:rsidRDefault="007729F9">
      <w:pPr>
        <w:pStyle w:val="BodyText"/>
        <w:numPr>
          <w:ilvl w:val="1"/>
          <w:numId w:val="10"/>
        </w:numPr>
        <w:spacing w:before="1"/>
        <w:ind w:right="337"/>
      </w:pPr>
      <w:r>
        <w:t>Market risk.  Some structured notes provide for the repayment of principal at maturity, which is often referred to as “principal protection.” This principal protection is subject to the credit risk of the issuing financial institution.  Many structured notes do not offer this feature.  For structured notes that do not offer principal protection, the performance of the linked asset or index may cause clients to lose some, or all, of their principal.  Depending on the nature of the linked asset or index, the market risk of the structured note may include changes in equity or commodity prices, changes in interest rates or foreign exchange rates, and/or market volatility.</w:t>
      </w:r>
    </w:p>
    <w:p w14:paraId="7B39450F" w14:textId="77777777" w:rsidR="00207CBB" w:rsidRDefault="007729F9">
      <w:pPr>
        <w:pStyle w:val="BodyText"/>
        <w:numPr>
          <w:ilvl w:val="1"/>
          <w:numId w:val="10"/>
        </w:numPr>
        <w:spacing w:before="1"/>
        <w:ind w:right="337"/>
      </w:pPr>
      <w:r>
        <w:t xml:space="preserve">Issuance price and note value. The price of a structured note at issuance will likely be higher than the fair value of the structured note on the date of issuance.  Issuers now generally disclose an estimated value of the structured note on the cover page of the offering prospectus, allowing investors to gauge the difference </w:t>
      </w:r>
    </w:p>
    <w:p w14:paraId="5F1B4855" w14:textId="77777777" w:rsidR="00207CBB" w:rsidRDefault="007729F9">
      <w:pPr>
        <w:pStyle w:val="BodyText"/>
        <w:numPr>
          <w:ilvl w:val="1"/>
          <w:numId w:val="10"/>
        </w:numPr>
        <w:spacing w:before="1"/>
        <w:ind w:right="337"/>
      </w:pPr>
      <w:r>
        <w:t xml:space="preserve">between the issuer’s estimated value of the note and the issuance price.  The estimated value of the notes is likely lower than the issuance price of the note to investors because issuers include the costs for selling, structuring and/or hedging the exposure on the note in the initial price of their notes.  After issuance, structured notes may not be re-sold on a daily basis and thus may be difficult to value given their complexity. </w:t>
      </w:r>
    </w:p>
    <w:p w14:paraId="34B2D6B2" w14:textId="77777777" w:rsidR="00207CBB" w:rsidRDefault="007729F9">
      <w:pPr>
        <w:pStyle w:val="BodyText"/>
        <w:numPr>
          <w:ilvl w:val="1"/>
          <w:numId w:val="10"/>
        </w:numPr>
        <w:spacing w:before="1"/>
        <w:ind w:right="337"/>
      </w:pPr>
      <w:r>
        <w:t xml:space="preserve">Liquidity.  The ability to trade or sell structured notes in a secondary market is often very limited, as structured notes (other than exchange-traded notes known as ETNs) are not listed for trading on securities exchanges.  As a result, the only potential buyer for a structured note may be the issuing financial institution’s broker-dealer affiliate or the broker-dealer distributor of the structured note.  In addition, issuers often specifically disclaim their intention to repurchase or make markets in the notes they issue.  Clients should, therefore, be prepared to hold a structured note to its maturity date, or risk selling the note at a discount to its value at the time of sale.    </w:t>
      </w:r>
    </w:p>
    <w:p w14:paraId="4BE34122" w14:textId="77777777" w:rsidR="00207CBB" w:rsidRDefault="007729F9">
      <w:pPr>
        <w:pStyle w:val="BodyText"/>
        <w:numPr>
          <w:ilvl w:val="1"/>
          <w:numId w:val="10"/>
        </w:numPr>
        <w:spacing w:before="1"/>
        <w:ind w:right="337"/>
      </w:pPr>
      <w:r>
        <w:t xml:space="preserve">Credit risk.  Structured notes are unsecured debt obligations of the issuer, meaning that the issuer is obligated to make payments on the notes as promised.  These promises, including any principal protection, are only as good as the financial health of the structured note issuer.  If the structured note issuer defaults on these obligations, investors may lose some, or all, of the principal amount they invested in the structured notes as well as any other payments that may be due on the structured notes.  </w:t>
      </w:r>
    </w:p>
    <w:p w14:paraId="6846805A" w14:textId="77777777" w:rsidR="00207CBB" w:rsidRDefault="00207CBB"/>
    <w:p w14:paraId="73B6F614" w14:textId="77777777" w:rsidR="00207CBB" w:rsidRDefault="007729F9">
      <w:pPr>
        <w:pStyle w:val="BodyText"/>
        <w:ind w:left="230" w:right="363"/>
      </w:pPr>
      <w:r>
        <w:t xml:space="preserve">In certain situations, the Adviser could recommend investments in selected private placements or hedge funds. These types of investments present unique risks due to the use of leverage and potential lack of liquidity. In addition, such recommendations are limited </w:t>
      </w:r>
      <w:r>
        <w:lastRenderedPageBreak/>
        <w:t>only to those clients that are termed as “Accredited Investors” as defined in Rule 205-3 of the Investment Advisers Act of 1940. These types of investments also have varied and unique fee structures of their own.</w:t>
      </w:r>
    </w:p>
    <w:p w14:paraId="4D0B40FF" w14:textId="77777777" w:rsidR="00207CBB" w:rsidRDefault="00207CBB">
      <w:pPr>
        <w:pStyle w:val="BodyText"/>
        <w:spacing w:before="4"/>
      </w:pPr>
    </w:p>
    <w:p w14:paraId="43C9477C" w14:textId="77777777" w:rsidR="00207CBB" w:rsidRDefault="007729F9">
      <w:pPr>
        <w:pStyle w:val="BodyText"/>
        <w:spacing w:before="1"/>
        <w:ind w:left="230" w:right="348"/>
      </w:pPr>
      <w:r>
        <w:t>Adviser does not represent, warranty, or imply that the services or methods of analysis employed</w:t>
      </w:r>
      <w:r>
        <w:rPr>
          <w:spacing w:val="-3"/>
        </w:rPr>
        <w:t xml:space="preserve"> </w:t>
      </w:r>
      <w:r>
        <w:t>by</w:t>
      </w:r>
      <w:r>
        <w:rPr>
          <w:spacing w:val="-3"/>
        </w:rPr>
        <w:t xml:space="preserve"> </w:t>
      </w:r>
      <w:r>
        <w:t>the</w:t>
      </w:r>
      <w:r>
        <w:rPr>
          <w:spacing w:val="-5"/>
        </w:rPr>
        <w:t xml:space="preserve"> </w:t>
      </w:r>
      <w:r>
        <w:t>Adviser</w:t>
      </w:r>
      <w:r>
        <w:rPr>
          <w:spacing w:val="-1"/>
        </w:rPr>
        <w:t xml:space="preserve"> </w:t>
      </w:r>
      <w:r>
        <w:t>can</w:t>
      </w:r>
      <w:r>
        <w:rPr>
          <w:spacing w:val="-4"/>
        </w:rPr>
        <w:t xml:space="preserve"> </w:t>
      </w:r>
      <w:r>
        <w:t>or</w:t>
      </w:r>
      <w:r>
        <w:rPr>
          <w:spacing w:val="-1"/>
        </w:rPr>
        <w:t xml:space="preserve"> </w:t>
      </w:r>
      <w:r>
        <w:t>will</w:t>
      </w:r>
      <w:r>
        <w:rPr>
          <w:spacing w:val="-2"/>
        </w:rPr>
        <w:t xml:space="preserve"> </w:t>
      </w:r>
      <w:r>
        <w:t>predict</w:t>
      </w:r>
      <w:r>
        <w:rPr>
          <w:spacing w:val="-2"/>
        </w:rPr>
        <w:t xml:space="preserve"> </w:t>
      </w:r>
      <w:r>
        <w:t>future</w:t>
      </w:r>
      <w:r>
        <w:rPr>
          <w:spacing w:val="-4"/>
        </w:rPr>
        <w:t xml:space="preserve"> </w:t>
      </w:r>
      <w:r>
        <w:t>results,</w:t>
      </w:r>
      <w:r>
        <w:rPr>
          <w:spacing w:val="-5"/>
        </w:rPr>
        <w:t xml:space="preserve"> </w:t>
      </w:r>
      <w:r>
        <w:t>successfully</w:t>
      </w:r>
      <w:r>
        <w:rPr>
          <w:spacing w:val="-3"/>
        </w:rPr>
        <w:t xml:space="preserve"> </w:t>
      </w:r>
      <w:r>
        <w:t>identify</w:t>
      </w:r>
      <w:r>
        <w:rPr>
          <w:spacing w:val="-4"/>
        </w:rPr>
        <w:t xml:space="preserve"> </w:t>
      </w:r>
      <w:r>
        <w:t>market</w:t>
      </w:r>
      <w:r>
        <w:rPr>
          <w:spacing w:val="-4"/>
        </w:rPr>
        <w:t xml:space="preserve"> </w:t>
      </w:r>
      <w:r>
        <w:t>tops or bottoms, or insulate clients from losses due to market corrections or declines. Investing</w:t>
      </w:r>
      <w:bookmarkStart w:id="13" w:name="_bookmark7"/>
      <w:bookmarkEnd w:id="13"/>
      <w:r>
        <w:t xml:space="preserve"> in securities involves a risk of loss that clients should be prepared to</w:t>
      </w:r>
      <w:r>
        <w:rPr>
          <w:spacing w:val="-20"/>
        </w:rPr>
        <w:t xml:space="preserve"> </w:t>
      </w:r>
      <w:r>
        <w:t>bear.</w:t>
      </w:r>
    </w:p>
    <w:p w14:paraId="1BC83984" w14:textId="77777777" w:rsidR="00207CBB" w:rsidRDefault="00207CBB">
      <w:pPr>
        <w:pStyle w:val="BodyText"/>
        <w:spacing w:before="1"/>
        <w:ind w:left="230" w:right="348"/>
      </w:pPr>
    </w:p>
    <w:p w14:paraId="6B532BC8" w14:textId="77777777" w:rsidR="00207CBB" w:rsidRDefault="007729F9">
      <w:pPr>
        <w:pStyle w:val="BodyText"/>
        <w:spacing w:before="1"/>
        <w:ind w:left="230" w:right="348"/>
      </w:pPr>
      <w:r>
        <w:t>Clients are advised that they should only commit assets for management that can be invested for the long term, that volatility from investing can occur, and that all investing is subject to risk.  Adviser does not guarantee the future performance of a client’s portfolio, as investing in securities involves the risk of loss that clients should be prepared to bear.</w:t>
      </w:r>
    </w:p>
    <w:p w14:paraId="70C385A6" w14:textId="77777777" w:rsidR="00207CBB" w:rsidRDefault="00207CBB">
      <w:pPr>
        <w:pStyle w:val="BodyText"/>
        <w:spacing w:before="4"/>
        <w:rPr>
          <w:sz w:val="31"/>
        </w:rPr>
      </w:pPr>
    </w:p>
    <w:p w14:paraId="17EB2406" w14:textId="77777777" w:rsidR="00207CBB" w:rsidRDefault="00207CBB">
      <w:pPr>
        <w:pStyle w:val="BodyText"/>
        <w:spacing w:before="4"/>
        <w:rPr>
          <w:sz w:val="31"/>
        </w:rPr>
      </w:pPr>
    </w:p>
    <w:p w14:paraId="32D1B141" w14:textId="77777777" w:rsidR="00207CBB" w:rsidRDefault="007729F9">
      <w:pPr>
        <w:pStyle w:val="Heading1"/>
        <w:ind w:left="0" w:firstLine="230"/>
        <w:jc w:val="left"/>
      </w:pPr>
      <w:bookmarkStart w:id="14" w:name="_Toc201066081"/>
      <w:r>
        <w:t>Item 9: Disciplinary Information</w:t>
      </w:r>
      <w:bookmarkEnd w:id="14"/>
    </w:p>
    <w:p w14:paraId="3189D17F" w14:textId="77777777" w:rsidR="00207CBB" w:rsidRDefault="00207CBB">
      <w:pPr>
        <w:pStyle w:val="BodyText"/>
        <w:spacing w:before="7"/>
        <w:ind w:left="230"/>
      </w:pPr>
    </w:p>
    <w:p w14:paraId="0F36C889" w14:textId="77777777" w:rsidR="00207CBB" w:rsidRDefault="007729F9">
      <w:pPr>
        <w:pStyle w:val="BodyText"/>
        <w:spacing w:before="7"/>
        <w:ind w:left="230"/>
      </w:pPr>
      <w:r>
        <w:t>There are no legal or disciplinary events that are related to the Adviser’s business or the integrity of Adviser’s management.</w:t>
      </w:r>
    </w:p>
    <w:p w14:paraId="43B7E99D" w14:textId="77777777" w:rsidR="00207CBB" w:rsidRDefault="00207CBB">
      <w:pPr>
        <w:pStyle w:val="BodyText"/>
        <w:spacing w:before="10"/>
        <w:rPr>
          <w:sz w:val="31"/>
        </w:rPr>
      </w:pPr>
    </w:p>
    <w:p w14:paraId="018A0E92" w14:textId="77777777" w:rsidR="00207CBB" w:rsidRDefault="007729F9">
      <w:pPr>
        <w:pStyle w:val="Heading1"/>
        <w:ind w:left="0" w:firstLine="230"/>
        <w:jc w:val="left"/>
      </w:pPr>
      <w:bookmarkStart w:id="15" w:name="_bookmark8"/>
      <w:bookmarkStart w:id="16" w:name="_Toc201066082"/>
      <w:bookmarkEnd w:id="15"/>
      <w:r>
        <w:t>Item 10: Other Financial Industry Activities and Affiliations</w:t>
      </w:r>
      <w:bookmarkEnd w:id="16"/>
    </w:p>
    <w:p w14:paraId="285DA50C" w14:textId="77777777" w:rsidR="00207CBB" w:rsidRDefault="00207CBB">
      <w:pPr>
        <w:rPr>
          <w:sz w:val="24"/>
          <w:szCs w:val="24"/>
        </w:rPr>
      </w:pPr>
    </w:p>
    <w:p w14:paraId="2B918512" w14:textId="77777777" w:rsidR="00207CBB" w:rsidRDefault="007729F9">
      <w:pPr>
        <w:pStyle w:val="BodyText"/>
        <w:ind w:firstLine="230"/>
        <w:rPr>
          <w:b/>
          <w:u w:val="single"/>
        </w:rPr>
      </w:pPr>
      <w:r>
        <w:rPr>
          <w:b/>
          <w:u w:val="single"/>
        </w:rPr>
        <w:t>Other Financial Industry Activities</w:t>
      </w:r>
    </w:p>
    <w:p w14:paraId="08AABC00" w14:textId="77777777" w:rsidR="00207CBB" w:rsidRDefault="00207CBB">
      <w:pPr>
        <w:pStyle w:val="BodyText"/>
      </w:pPr>
    </w:p>
    <w:p w14:paraId="18FB0D87" w14:textId="77777777" w:rsidR="00207CBB" w:rsidRDefault="007729F9">
      <w:pPr>
        <w:pStyle w:val="BodyText"/>
        <w:ind w:left="230" w:right="346"/>
      </w:pPr>
      <w:r>
        <w:t>No</w:t>
      </w:r>
      <w:r>
        <w:rPr>
          <w:spacing w:val="-7"/>
        </w:rPr>
        <w:t xml:space="preserve"> </w:t>
      </w:r>
      <w:r>
        <w:t>Adviser</w:t>
      </w:r>
      <w:r>
        <w:rPr>
          <w:spacing w:val="-7"/>
        </w:rPr>
        <w:t xml:space="preserve"> </w:t>
      </w:r>
      <w:r>
        <w:t>employee</w:t>
      </w:r>
      <w:r>
        <w:rPr>
          <w:spacing w:val="-9"/>
        </w:rPr>
        <w:t xml:space="preserve"> </w:t>
      </w:r>
      <w:r>
        <w:t>has</w:t>
      </w:r>
      <w:r>
        <w:rPr>
          <w:spacing w:val="-10"/>
        </w:rPr>
        <w:t xml:space="preserve"> </w:t>
      </w:r>
      <w:r>
        <w:t>a</w:t>
      </w:r>
      <w:r>
        <w:rPr>
          <w:spacing w:val="-10"/>
        </w:rPr>
        <w:t xml:space="preserve"> </w:t>
      </w:r>
      <w:r>
        <w:t>pending</w:t>
      </w:r>
      <w:r>
        <w:rPr>
          <w:spacing w:val="-6"/>
        </w:rPr>
        <w:t xml:space="preserve"> </w:t>
      </w:r>
      <w:r>
        <w:t>application</w:t>
      </w:r>
      <w:r>
        <w:rPr>
          <w:spacing w:val="-12"/>
        </w:rPr>
        <w:t xml:space="preserve"> </w:t>
      </w:r>
      <w:r>
        <w:t>to</w:t>
      </w:r>
      <w:r>
        <w:rPr>
          <w:spacing w:val="-6"/>
        </w:rPr>
        <w:t xml:space="preserve"> </w:t>
      </w:r>
      <w:r>
        <w:t>register</w:t>
      </w:r>
      <w:r>
        <w:rPr>
          <w:spacing w:val="-6"/>
        </w:rPr>
        <w:t xml:space="preserve"> </w:t>
      </w:r>
      <w:r>
        <w:t>as</w:t>
      </w:r>
      <w:r>
        <w:rPr>
          <w:spacing w:val="-11"/>
        </w:rPr>
        <w:t xml:space="preserve"> </w:t>
      </w:r>
      <w:r>
        <w:t>a</w:t>
      </w:r>
      <w:r>
        <w:rPr>
          <w:spacing w:val="-9"/>
        </w:rPr>
        <w:t xml:space="preserve"> </w:t>
      </w:r>
      <w:r>
        <w:t>registered</w:t>
      </w:r>
      <w:r>
        <w:rPr>
          <w:spacing w:val="-7"/>
        </w:rPr>
        <w:t xml:space="preserve"> </w:t>
      </w:r>
      <w:r>
        <w:t>representative,</w:t>
      </w:r>
      <w:r>
        <w:rPr>
          <w:spacing w:val="-9"/>
        </w:rPr>
        <w:t xml:space="preserve"> </w:t>
      </w:r>
      <w:r>
        <w:t>an associated person of a futures commission merchant, a commodity pool operator, or a commodity</w:t>
      </w:r>
      <w:r>
        <w:rPr>
          <w:spacing w:val="-8"/>
        </w:rPr>
        <w:t xml:space="preserve"> </w:t>
      </w:r>
      <w:r>
        <w:t>trading</w:t>
      </w:r>
      <w:r>
        <w:rPr>
          <w:spacing w:val="-5"/>
        </w:rPr>
        <w:t xml:space="preserve"> </w:t>
      </w:r>
      <w:r>
        <w:t>adviser.</w:t>
      </w:r>
      <w:r>
        <w:rPr>
          <w:spacing w:val="-8"/>
        </w:rPr>
        <w:t xml:space="preserve"> </w:t>
      </w:r>
      <w:r>
        <w:t>The</w:t>
      </w:r>
      <w:r>
        <w:rPr>
          <w:spacing w:val="-8"/>
        </w:rPr>
        <w:t xml:space="preserve"> </w:t>
      </w:r>
      <w:r>
        <w:t>Adviser does</w:t>
      </w:r>
      <w:r>
        <w:rPr>
          <w:spacing w:val="-9"/>
        </w:rPr>
        <w:t xml:space="preserve"> </w:t>
      </w:r>
      <w:r>
        <w:t>not</w:t>
      </w:r>
      <w:r>
        <w:rPr>
          <w:spacing w:val="-6"/>
        </w:rPr>
        <w:t xml:space="preserve"> </w:t>
      </w:r>
      <w:r>
        <w:t>have</w:t>
      </w:r>
      <w:r>
        <w:rPr>
          <w:spacing w:val="-8"/>
        </w:rPr>
        <w:t xml:space="preserve"> </w:t>
      </w:r>
      <w:r>
        <w:t>a</w:t>
      </w:r>
      <w:r>
        <w:rPr>
          <w:spacing w:val="-5"/>
        </w:rPr>
        <w:t xml:space="preserve"> </w:t>
      </w:r>
      <w:r>
        <w:t>pending</w:t>
      </w:r>
      <w:r>
        <w:rPr>
          <w:spacing w:val="-5"/>
        </w:rPr>
        <w:t xml:space="preserve"> </w:t>
      </w:r>
      <w:r>
        <w:t>application</w:t>
      </w:r>
      <w:r>
        <w:rPr>
          <w:spacing w:val="-6"/>
        </w:rPr>
        <w:t xml:space="preserve"> </w:t>
      </w:r>
      <w:r>
        <w:t>to</w:t>
      </w:r>
      <w:r>
        <w:rPr>
          <w:spacing w:val="-4"/>
        </w:rPr>
        <w:t xml:space="preserve"> </w:t>
      </w:r>
      <w:r>
        <w:t>register</w:t>
      </w:r>
      <w:r>
        <w:rPr>
          <w:spacing w:val="-5"/>
        </w:rPr>
        <w:t xml:space="preserve"> </w:t>
      </w:r>
      <w:r>
        <w:t>as</w:t>
      </w:r>
      <w:r>
        <w:rPr>
          <w:spacing w:val="-4"/>
        </w:rPr>
        <w:t xml:space="preserve"> </w:t>
      </w:r>
      <w:r>
        <w:t>a broker-dealer,</w:t>
      </w:r>
      <w:r>
        <w:rPr>
          <w:spacing w:val="-5"/>
        </w:rPr>
        <w:t xml:space="preserve"> </w:t>
      </w:r>
      <w:r>
        <w:t>a</w:t>
      </w:r>
      <w:r>
        <w:rPr>
          <w:spacing w:val="-5"/>
        </w:rPr>
        <w:t xml:space="preserve"> </w:t>
      </w:r>
      <w:r>
        <w:t>futures</w:t>
      </w:r>
      <w:r>
        <w:rPr>
          <w:spacing w:val="-5"/>
        </w:rPr>
        <w:t xml:space="preserve"> </w:t>
      </w:r>
      <w:r>
        <w:t>commission</w:t>
      </w:r>
      <w:r>
        <w:rPr>
          <w:spacing w:val="-3"/>
        </w:rPr>
        <w:t xml:space="preserve"> </w:t>
      </w:r>
      <w:r>
        <w:t>merchant,</w:t>
      </w:r>
      <w:r>
        <w:rPr>
          <w:spacing w:val="-9"/>
        </w:rPr>
        <w:t xml:space="preserve"> </w:t>
      </w:r>
      <w:r>
        <w:t>a</w:t>
      </w:r>
      <w:r>
        <w:rPr>
          <w:spacing w:val="-5"/>
        </w:rPr>
        <w:t xml:space="preserve"> </w:t>
      </w:r>
      <w:r>
        <w:t>commodity</w:t>
      </w:r>
      <w:r>
        <w:rPr>
          <w:spacing w:val="-4"/>
        </w:rPr>
        <w:t xml:space="preserve"> </w:t>
      </w:r>
      <w:r>
        <w:t>pool</w:t>
      </w:r>
      <w:r>
        <w:rPr>
          <w:spacing w:val="-1"/>
        </w:rPr>
        <w:t xml:space="preserve"> </w:t>
      </w:r>
      <w:r>
        <w:t>operator,</w:t>
      </w:r>
      <w:r>
        <w:rPr>
          <w:spacing w:val="-4"/>
        </w:rPr>
        <w:t xml:space="preserve"> </w:t>
      </w:r>
      <w:r>
        <w:t>or</w:t>
      </w:r>
      <w:r>
        <w:rPr>
          <w:spacing w:val="-2"/>
        </w:rPr>
        <w:t xml:space="preserve"> </w:t>
      </w:r>
      <w:r>
        <w:t>a</w:t>
      </w:r>
      <w:r>
        <w:rPr>
          <w:spacing w:val="-5"/>
        </w:rPr>
        <w:t xml:space="preserve"> </w:t>
      </w:r>
      <w:r>
        <w:t>commodity trading adviser.</w:t>
      </w:r>
    </w:p>
    <w:p w14:paraId="7242B4BE" w14:textId="77777777" w:rsidR="00207CBB" w:rsidRDefault="00207CBB">
      <w:pPr>
        <w:pStyle w:val="BodyText"/>
        <w:rPr>
          <w:b/>
          <w:u w:val="single"/>
        </w:rPr>
      </w:pPr>
    </w:p>
    <w:p w14:paraId="041CC42B" w14:textId="77777777" w:rsidR="00207CBB" w:rsidRDefault="007729F9">
      <w:pPr>
        <w:pStyle w:val="Heading1"/>
        <w:ind w:left="230"/>
        <w:jc w:val="left"/>
      </w:pPr>
      <w:bookmarkStart w:id="17" w:name="_Toc201066083"/>
      <w:r>
        <w:t>Item 11: Code of Ethics, Participation or Interest in Client Transactions and Personal Trading</w:t>
      </w:r>
      <w:bookmarkEnd w:id="17"/>
    </w:p>
    <w:p w14:paraId="5E9E471D" w14:textId="77777777" w:rsidR="00207CBB" w:rsidRDefault="00207CBB">
      <w:pPr>
        <w:spacing w:line="242" w:lineRule="auto"/>
        <w:ind w:left="230" w:right="931"/>
        <w:rPr>
          <w:b/>
          <w:sz w:val="28"/>
          <w:u w:val="single"/>
        </w:rPr>
      </w:pPr>
    </w:p>
    <w:p w14:paraId="791B04CA" w14:textId="77777777" w:rsidR="00207CBB" w:rsidRDefault="007729F9">
      <w:pPr>
        <w:pStyle w:val="BodyText"/>
        <w:ind w:firstLine="230"/>
        <w:rPr>
          <w:b/>
          <w:u w:val="single"/>
        </w:rPr>
      </w:pPr>
      <w:r>
        <w:rPr>
          <w:b/>
          <w:u w:val="single"/>
        </w:rPr>
        <w:t>Code of Ethics</w:t>
      </w:r>
    </w:p>
    <w:p w14:paraId="1C93B0BF" w14:textId="77777777" w:rsidR="00207CBB" w:rsidRDefault="00207CBB">
      <w:pPr>
        <w:pStyle w:val="BodyText"/>
      </w:pPr>
    </w:p>
    <w:p w14:paraId="68F0507F" w14:textId="77777777" w:rsidR="00207CBB" w:rsidRDefault="007729F9">
      <w:pPr>
        <w:pStyle w:val="BodyText"/>
        <w:spacing w:before="6"/>
        <w:ind w:left="230" w:right="341"/>
      </w:pPr>
      <w:r>
        <w:t>Adviser’s Code of Ethics discusses the importance of maintaining a high ethical standard while</w:t>
      </w:r>
      <w:r>
        <w:rPr>
          <w:spacing w:val="-4"/>
        </w:rPr>
        <w:t xml:space="preserve"> </w:t>
      </w:r>
      <w:r>
        <w:t>placing</w:t>
      </w:r>
      <w:r>
        <w:rPr>
          <w:spacing w:val="-4"/>
        </w:rPr>
        <w:t xml:space="preserve"> </w:t>
      </w:r>
      <w:r>
        <w:t>client</w:t>
      </w:r>
      <w:r>
        <w:rPr>
          <w:spacing w:val="-5"/>
        </w:rPr>
        <w:t xml:space="preserve"> </w:t>
      </w:r>
      <w:r>
        <w:t>interest</w:t>
      </w:r>
      <w:r>
        <w:rPr>
          <w:spacing w:val="-6"/>
        </w:rPr>
        <w:t xml:space="preserve"> </w:t>
      </w:r>
      <w:r>
        <w:t>first.</w:t>
      </w:r>
      <w:r>
        <w:rPr>
          <w:spacing w:val="-7"/>
        </w:rPr>
        <w:t xml:space="preserve"> </w:t>
      </w:r>
      <w:r>
        <w:t>As</w:t>
      </w:r>
      <w:r>
        <w:rPr>
          <w:spacing w:val="-10"/>
        </w:rPr>
        <w:t xml:space="preserve"> </w:t>
      </w:r>
      <w:r>
        <w:t>mentioned</w:t>
      </w:r>
      <w:r>
        <w:rPr>
          <w:spacing w:val="-4"/>
        </w:rPr>
        <w:t xml:space="preserve"> </w:t>
      </w:r>
      <w:r>
        <w:t>in</w:t>
      </w:r>
      <w:r>
        <w:rPr>
          <w:spacing w:val="-6"/>
        </w:rPr>
        <w:t xml:space="preserve"> </w:t>
      </w:r>
      <w:r>
        <w:t>the</w:t>
      </w:r>
      <w:r>
        <w:rPr>
          <w:spacing w:val="-8"/>
        </w:rPr>
        <w:t xml:space="preserve"> </w:t>
      </w:r>
      <w:r>
        <w:t>Code</w:t>
      </w:r>
      <w:r>
        <w:rPr>
          <w:spacing w:val="-8"/>
        </w:rPr>
        <w:t xml:space="preserve"> </w:t>
      </w:r>
      <w:r>
        <w:t>of</w:t>
      </w:r>
      <w:r>
        <w:rPr>
          <w:spacing w:val="-7"/>
        </w:rPr>
        <w:t xml:space="preserve"> </w:t>
      </w:r>
      <w:r>
        <w:t>Ethics</w:t>
      </w:r>
      <w:r>
        <w:rPr>
          <w:spacing w:val="-8"/>
        </w:rPr>
        <w:t xml:space="preserve"> </w:t>
      </w:r>
      <w:r>
        <w:t>of</w:t>
      </w:r>
      <w:r>
        <w:rPr>
          <w:spacing w:val="-8"/>
        </w:rPr>
        <w:t xml:space="preserve"> </w:t>
      </w:r>
      <w:r>
        <w:t>the</w:t>
      </w:r>
      <w:r>
        <w:rPr>
          <w:spacing w:val="-8"/>
        </w:rPr>
        <w:t xml:space="preserve"> </w:t>
      </w:r>
      <w:r>
        <w:t>CFA</w:t>
      </w:r>
      <w:r>
        <w:rPr>
          <w:spacing w:val="-8"/>
        </w:rPr>
        <w:t xml:space="preserve"> </w:t>
      </w:r>
      <w:r>
        <w:t>Institute</w:t>
      </w:r>
      <w:r>
        <w:rPr>
          <w:spacing w:val="-6"/>
        </w:rPr>
        <w:t xml:space="preserve"> </w:t>
      </w:r>
      <w:r>
        <w:t>and the</w:t>
      </w:r>
      <w:r>
        <w:rPr>
          <w:spacing w:val="-8"/>
        </w:rPr>
        <w:t xml:space="preserve"> </w:t>
      </w:r>
      <w:r>
        <w:t>CFP</w:t>
      </w:r>
      <w:r>
        <w:rPr>
          <w:spacing w:val="-3"/>
        </w:rPr>
        <w:t xml:space="preserve"> </w:t>
      </w:r>
      <w:r>
        <w:t>Board</w:t>
      </w:r>
      <w:r>
        <w:rPr>
          <w:spacing w:val="-8"/>
        </w:rPr>
        <w:t xml:space="preserve"> </w:t>
      </w:r>
      <w:r>
        <w:t>of</w:t>
      </w:r>
      <w:r>
        <w:rPr>
          <w:spacing w:val="-12"/>
        </w:rPr>
        <w:t xml:space="preserve"> </w:t>
      </w:r>
      <w:r>
        <w:t>Standards,</w:t>
      </w:r>
      <w:r>
        <w:rPr>
          <w:spacing w:val="-11"/>
        </w:rPr>
        <w:t xml:space="preserve"> </w:t>
      </w:r>
      <w:r>
        <w:t>we</w:t>
      </w:r>
      <w:r>
        <w:rPr>
          <w:spacing w:val="-8"/>
        </w:rPr>
        <w:t xml:space="preserve"> </w:t>
      </w:r>
      <w:r>
        <w:t>agree</w:t>
      </w:r>
      <w:r>
        <w:rPr>
          <w:spacing w:val="-13"/>
        </w:rPr>
        <w:t xml:space="preserve"> </w:t>
      </w:r>
      <w:r>
        <w:t>that</w:t>
      </w:r>
      <w:r>
        <w:rPr>
          <w:spacing w:val="-11"/>
        </w:rPr>
        <w:t xml:space="preserve"> </w:t>
      </w:r>
      <w:r>
        <w:t>we</w:t>
      </w:r>
      <w:r>
        <w:rPr>
          <w:spacing w:val="-8"/>
        </w:rPr>
        <w:t xml:space="preserve"> </w:t>
      </w:r>
      <w:r>
        <w:t>have</w:t>
      </w:r>
      <w:r>
        <w:rPr>
          <w:spacing w:val="-12"/>
        </w:rPr>
        <w:t xml:space="preserve"> </w:t>
      </w:r>
      <w:r>
        <w:t>a</w:t>
      </w:r>
      <w:r>
        <w:rPr>
          <w:spacing w:val="-8"/>
        </w:rPr>
        <w:t xml:space="preserve"> </w:t>
      </w:r>
      <w:r>
        <w:t>responsibility</w:t>
      </w:r>
      <w:r>
        <w:rPr>
          <w:spacing w:val="-11"/>
        </w:rPr>
        <w:t xml:space="preserve"> </w:t>
      </w:r>
      <w:r>
        <w:t>to</w:t>
      </w:r>
      <w:r>
        <w:rPr>
          <w:spacing w:val="-9"/>
        </w:rPr>
        <w:t xml:space="preserve"> </w:t>
      </w:r>
      <w:r>
        <w:t>maintain</w:t>
      </w:r>
      <w:r>
        <w:rPr>
          <w:spacing w:val="-9"/>
        </w:rPr>
        <w:t xml:space="preserve"> </w:t>
      </w:r>
      <w:r>
        <w:t>this</w:t>
      </w:r>
      <w:r>
        <w:rPr>
          <w:spacing w:val="-8"/>
        </w:rPr>
        <w:t xml:space="preserve"> </w:t>
      </w:r>
      <w:r>
        <w:t>standard in dealing with clients, prospects, employees, employers, peers and the</w:t>
      </w:r>
      <w:r>
        <w:rPr>
          <w:spacing w:val="-23"/>
        </w:rPr>
        <w:t xml:space="preserve"> </w:t>
      </w:r>
      <w:r>
        <w:t>public.</w:t>
      </w:r>
    </w:p>
    <w:p w14:paraId="664D126B" w14:textId="77777777" w:rsidR="00207CBB" w:rsidRDefault="00207CBB"/>
    <w:p w14:paraId="35C87D7F" w14:textId="77777777" w:rsidR="00207CBB" w:rsidRDefault="007729F9">
      <w:pPr>
        <w:pStyle w:val="BodyText"/>
        <w:spacing w:before="41"/>
        <w:ind w:left="230" w:right="344"/>
      </w:pPr>
      <w:r>
        <w:t xml:space="preserve">Our Firm and persons associated with us are allowed </w:t>
      </w:r>
      <w:r>
        <w:rPr>
          <w:spacing w:val="-3"/>
        </w:rPr>
        <w:t xml:space="preserve">to </w:t>
      </w:r>
      <w:r>
        <w:t xml:space="preserve">invest for their own accounts, or </w:t>
      </w:r>
      <w:r>
        <w:rPr>
          <w:spacing w:val="-3"/>
        </w:rPr>
        <w:t xml:space="preserve">to </w:t>
      </w:r>
      <w:r>
        <w:t>have</w:t>
      </w:r>
      <w:r>
        <w:rPr>
          <w:spacing w:val="-5"/>
        </w:rPr>
        <w:t xml:space="preserve"> </w:t>
      </w:r>
      <w:r>
        <w:t>a</w:t>
      </w:r>
      <w:r>
        <w:rPr>
          <w:spacing w:val="-5"/>
        </w:rPr>
        <w:t xml:space="preserve"> </w:t>
      </w:r>
      <w:r>
        <w:t>financial</w:t>
      </w:r>
      <w:r>
        <w:rPr>
          <w:spacing w:val="-2"/>
        </w:rPr>
        <w:t xml:space="preserve"> </w:t>
      </w:r>
      <w:r>
        <w:t>investment</w:t>
      </w:r>
      <w:r>
        <w:rPr>
          <w:spacing w:val="-2"/>
        </w:rPr>
        <w:t xml:space="preserve"> </w:t>
      </w:r>
      <w:r>
        <w:t>in</w:t>
      </w:r>
      <w:r>
        <w:rPr>
          <w:spacing w:val="-3"/>
        </w:rPr>
        <w:t xml:space="preserve"> </w:t>
      </w:r>
      <w:r>
        <w:t>the</w:t>
      </w:r>
      <w:r>
        <w:rPr>
          <w:spacing w:val="-4"/>
        </w:rPr>
        <w:t xml:space="preserve"> </w:t>
      </w:r>
      <w:r>
        <w:t>same</w:t>
      </w:r>
      <w:r>
        <w:rPr>
          <w:spacing w:val="-4"/>
        </w:rPr>
        <w:t xml:space="preserve"> </w:t>
      </w:r>
      <w:r>
        <w:t>securities</w:t>
      </w:r>
      <w:r>
        <w:rPr>
          <w:spacing w:val="-6"/>
        </w:rPr>
        <w:t xml:space="preserve"> </w:t>
      </w:r>
      <w:r>
        <w:t>or</w:t>
      </w:r>
      <w:r>
        <w:rPr>
          <w:spacing w:val="-1"/>
        </w:rPr>
        <w:t xml:space="preserve"> </w:t>
      </w:r>
      <w:r>
        <w:t>other</w:t>
      </w:r>
      <w:r>
        <w:rPr>
          <w:spacing w:val="-6"/>
        </w:rPr>
        <w:t xml:space="preserve"> </w:t>
      </w:r>
      <w:r>
        <w:t>investments</w:t>
      </w:r>
      <w:r>
        <w:rPr>
          <w:spacing w:val="-6"/>
        </w:rPr>
        <w:t xml:space="preserve"> </w:t>
      </w:r>
      <w:r>
        <w:t>that</w:t>
      </w:r>
      <w:r>
        <w:rPr>
          <w:spacing w:val="-3"/>
        </w:rPr>
        <w:t xml:space="preserve"> </w:t>
      </w:r>
      <w:r>
        <w:t>we</w:t>
      </w:r>
      <w:r>
        <w:rPr>
          <w:spacing w:val="-5"/>
        </w:rPr>
        <w:t xml:space="preserve"> </w:t>
      </w:r>
      <w:r>
        <w:t xml:space="preserve">recommend or acquire for the client’s account, and could engage in transactions </w:t>
      </w:r>
      <w:r>
        <w:rPr>
          <w:spacing w:val="2"/>
        </w:rPr>
        <w:t xml:space="preserve">that </w:t>
      </w:r>
      <w:r>
        <w:t>are the same as or different than transactions recommended to or made for the client’s account. This creates a conflict</w:t>
      </w:r>
      <w:r>
        <w:rPr>
          <w:spacing w:val="-16"/>
        </w:rPr>
        <w:t xml:space="preserve"> </w:t>
      </w:r>
      <w:r>
        <w:t>of</w:t>
      </w:r>
      <w:r>
        <w:rPr>
          <w:spacing w:val="-17"/>
        </w:rPr>
        <w:t xml:space="preserve"> </w:t>
      </w:r>
      <w:r>
        <w:t>interest.</w:t>
      </w:r>
      <w:r>
        <w:rPr>
          <w:spacing w:val="-17"/>
        </w:rPr>
        <w:t xml:space="preserve"> </w:t>
      </w:r>
      <w:r>
        <w:t>We</w:t>
      </w:r>
      <w:r>
        <w:rPr>
          <w:spacing w:val="-18"/>
        </w:rPr>
        <w:t xml:space="preserve"> </w:t>
      </w:r>
      <w:r>
        <w:t>recognize</w:t>
      </w:r>
      <w:r>
        <w:rPr>
          <w:spacing w:val="-19"/>
        </w:rPr>
        <w:t xml:space="preserve"> </w:t>
      </w:r>
      <w:r>
        <w:t>the</w:t>
      </w:r>
      <w:r>
        <w:rPr>
          <w:spacing w:val="-18"/>
        </w:rPr>
        <w:t xml:space="preserve"> </w:t>
      </w:r>
      <w:r>
        <w:t>fiduciary</w:t>
      </w:r>
      <w:r>
        <w:rPr>
          <w:spacing w:val="-17"/>
        </w:rPr>
        <w:t xml:space="preserve"> </w:t>
      </w:r>
      <w:r>
        <w:t>responsibility</w:t>
      </w:r>
      <w:r>
        <w:rPr>
          <w:spacing w:val="-17"/>
        </w:rPr>
        <w:t xml:space="preserve"> </w:t>
      </w:r>
      <w:r>
        <w:t>to</w:t>
      </w:r>
      <w:r>
        <w:rPr>
          <w:spacing w:val="-14"/>
        </w:rPr>
        <w:t xml:space="preserve"> </w:t>
      </w:r>
      <w:r>
        <w:t>act</w:t>
      </w:r>
      <w:r>
        <w:rPr>
          <w:spacing w:val="-17"/>
        </w:rPr>
        <w:t xml:space="preserve"> </w:t>
      </w:r>
      <w:r>
        <w:t>in</w:t>
      </w:r>
      <w:r>
        <w:rPr>
          <w:spacing w:val="-15"/>
        </w:rPr>
        <w:t xml:space="preserve"> </w:t>
      </w:r>
      <w:r>
        <w:t>the</w:t>
      </w:r>
      <w:r>
        <w:rPr>
          <w:spacing w:val="-18"/>
        </w:rPr>
        <w:t xml:space="preserve"> </w:t>
      </w:r>
      <w:r>
        <w:t>client’s</w:t>
      </w:r>
      <w:r>
        <w:rPr>
          <w:spacing w:val="-14"/>
        </w:rPr>
        <w:t xml:space="preserve"> </w:t>
      </w:r>
      <w:r>
        <w:t>best</w:t>
      </w:r>
      <w:r>
        <w:rPr>
          <w:spacing w:val="-17"/>
        </w:rPr>
        <w:t xml:space="preserve"> </w:t>
      </w:r>
      <w:r>
        <w:t>interest and have established polices to mitigate conflicts of</w:t>
      </w:r>
      <w:r>
        <w:rPr>
          <w:spacing w:val="-7"/>
        </w:rPr>
        <w:t xml:space="preserve"> </w:t>
      </w:r>
      <w:r>
        <w:t>interest.</w:t>
      </w:r>
    </w:p>
    <w:p w14:paraId="678336D1" w14:textId="77777777" w:rsidR="00207CBB" w:rsidRDefault="00207CBB">
      <w:pPr>
        <w:pStyle w:val="BodyText"/>
        <w:spacing w:before="10"/>
        <w:rPr>
          <w:sz w:val="23"/>
        </w:rPr>
      </w:pPr>
    </w:p>
    <w:p w14:paraId="2FDAED48" w14:textId="77777777" w:rsidR="00207CBB" w:rsidRDefault="007729F9">
      <w:pPr>
        <w:pStyle w:val="BodyText"/>
        <w:spacing w:before="1"/>
        <w:ind w:left="230" w:right="343"/>
      </w:pPr>
      <w:r>
        <w:t>We have developed and implemented a Code of Ethics that sets forth standards of conduct expected of our advisory personnel to mitigate this conflict of interest. The Code of Ethics addresses,</w:t>
      </w:r>
      <w:r>
        <w:rPr>
          <w:spacing w:val="-5"/>
        </w:rPr>
        <w:t xml:space="preserve"> </w:t>
      </w:r>
      <w:r>
        <w:t>among</w:t>
      </w:r>
      <w:r>
        <w:rPr>
          <w:spacing w:val="-3"/>
        </w:rPr>
        <w:t xml:space="preserve"> </w:t>
      </w:r>
      <w:r>
        <w:t>other</w:t>
      </w:r>
      <w:r>
        <w:rPr>
          <w:spacing w:val="-2"/>
        </w:rPr>
        <w:t xml:space="preserve"> </w:t>
      </w:r>
      <w:r>
        <w:t>things,</w:t>
      </w:r>
      <w:r>
        <w:rPr>
          <w:spacing w:val="-5"/>
        </w:rPr>
        <w:t xml:space="preserve"> </w:t>
      </w:r>
      <w:r>
        <w:t>personal</w:t>
      </w:r>
      <w:r>
        <w:rPr>
          <w:spacing w:val="-6"/>
        </w:rPr>
        <w:t xml:space="preserve"> </w:t>
      </w:r>
      <w:r>
        <w:t>trading,</w:t>
      </w:r>
      <w:r>
        <w:rPr>
          <w:spacing w:val="-5"/>
        </w:rPr>
        <w:t xml:space="preserve"> </w:t>
      </w:r>
      <w:r>
        <w:t>gifts,</w:t>
      </w:r>
      <w:r>
        <w:rPr>
          <w:spacing w:val="-5"/>
        </w:rPr>
        <w:t xml:space="preserve"> </w:t>
      </w:r>
      <w:r>
        <w:t>and</w:t>
      </w:r>
      <w:r>
        <w:rPr>
          <w:spacing w:val="-2"/>
        </w:rPr>
        <w:t xml:space="preserve"> </w:t>
      </w:r>
      <w:r>
        <w:t>the</w:t>
      </w:r>
      <w:r>
        <w:rPr>
          <w:spacing w:val="-9"/>
        </w:rPr>
        <w:t xml:space="preserve"> </w:t>
      </w:r>
      <w:r>
        <w:t>prohibition</w:t>
      </w:r>
      <w:r>
        <w:rPr>
          <w:spacing w:val="-4"/>
        </w:rPr>
        <w:t xml:space="preserve"> </w:t>
      </w:r>
      <w:r>
        <w:t>against</w:t>
      </w:r>
      <w:r>
        <w:rPr>
          <w:spacing w:val="-4"/>
        </w:rPr>
        <w:t xml:space="preserve"> </w:t>
      </w:r>
      <w:r>
        <w:t>the</w:t>
      </w:r>
      <w:r>
        <w:rPr>
          <w:spacing w:val="-10"/>
        </w:rPr>
        <w:t xml:space="preserve"> </w:t>
      </w:r>
      <w:r>
        <w:t>use</w:t>
      </w:r>
      <w:r>
        <w:rPr>
          <w:spacing w:val="-5"/>
        </w:rPr>
        <w:t xml:space="preserve"> </w:t>
      </w:r>
      <w:r>
        <w:t>of inside</w:t>
      </w:r>
      <w:r>
        <w:rPr>
          <w:spacing w:val="-3"/>
        </w:rPr>
        <w:t xml:space="preserve"> </w:t>
      </w:r>
      <w:r>
        <w:t>information.</w:t>
      </w:r>
    </w:p>
    <w:p w14:paraId="7CCDB892" w14:textId="77777777" w:rsidR="00207CBB" w:rsidRDefault="00207CBB">
      <w:pPr>
        <w:pStyle w:val="BodyText"/>
        <w:spacing w:before="11"/>
        <w:rPr>
          <w:sz w:val="23"/>
        </w:rPr>
      </w:pPr>
    </w:p>
    <w:p w14:paraId="7B2EBBEF" w14:textId="77777777" w:rsidR="00207CBB" w:rsidRDefault="007729F9">
      <w:pPr>
        <w:pStyle w:val="BodyText"/>
        <w:ind w:left="230" w:right="342"/>
      </w:pPr>
      <w:r>
        <w:t>The</w:t>
      </w:r>
      <w:r>
        <w:rPr>
          <w:spacing w:val="-9"/>
        </w:rPr>
        <w:t xml:space="preserve"> </w:t>
      </w:r>
      <w:r>
        <w:t>Code</w:t>
      </w:r>
      <w:r>
        <w:rPr>
          <w:spacing w:val="-8"/>
        </w:rPr>
        <w:t xml:space="preserve"> </w:t>
      </w:r>
      <w:r>
        <w:t>of</w:t>
      </w:r>
      <w:r>
        <w:rPr>
          <w:spacing w:val="-8"/>
        </w:rPr>
        <w:t xml:space="preserve"> </w:t>
      </w:r>
      <w:r>
        <w:t>Ethics</w:t>
      </w:r>
      <w:r>
        <w:rPr>
          <w:spacing w:val="-8"/>
        </w:rPr>
        <w:t xml:space="preserve"> </w:t>
      </w:r>
      <w:r>
        <w:t>is</w:t>
      </w:r>
      <w:r>
        <w:rPr>
          <w:spacing w:val="-8"/>
        </w:rPr>
        <w:t xml:space="preserve"> </w:t>
      </w:r>
      <w:r>
        <w:t>designed</w:t>
      </w:r>
      <w:r>
        <w:rPr>
          <w:spacing w:val="-6"/>
        </w:rPr>
        <w:t xml:space="preserve"> </w:t>
      </w:r>
      <w:r>
        <w:t>to</w:t>
      </w:r>
      <w:r>
        <w:rPr>
          <w:spacing w:val="-4"/>
        </w:rPr>
        <w:t xml:space="preserve"> </w:t>
      </w:r>
      <w:r>
        <w:t>protect</w:t>
      </w:r>
      <w:r>
        <w:rPr>
          <w:spacing w:val="-7"/>
        </w:rPr>
        <w:t xml:space="preserve"> </w:t>
      </w:r>
      <w:r>
        <w:t>our</w:t>
      </w:r>
      <w:r>
        <w:rPr>
          <w:spacing w:val="-5"/>
        </w:rPr>
        <w:t xml:space="preserve"> </w:t>
      </w:r>
      <w:r>
        <w:t>clients</w:t>
      </w:r>
      <w:r>
        <w:rPr>
          <w:spacing w:val="-10"/>
        </w:rPr>
        <w:t xml:space="preserve"> </w:t>
      </w:r>
      <w:r>
        <w:t>to</w:t>
      </w:r>
      <w:r>
        <w:rPr>
          <w:spacing w:val="-4"/>
        </w:rPr>
        <w:t xml:space="preserve"> </w:t>
      </w:r>
      <w:r>
        <w:t>detect</w:t>
      </w:r>
      <w:r>
        <w:rPr>
          <w:spacing w:val="-7"/>
        </w:rPr>
        <w:t xml:space="preserve"> </w:t>
      </w:r>
      <w:r>
        <w:t>and</w:t>
      </w:r>
      <w:r>
        <w:rPr>
          <w:spacing w:val="-5"/>
        </w:rPr>
        <w:t xml:space="preserve"> </w:t>
      </w:r>
      <w:r>
        <w:t>deter</w:t>
      </w:r>
      <w:r>
        <w:rPr>
          <w:spacing w:val="-6"/>
        </w:rPr>
        <w:t xml:space="preserve"> </w:t>
      </w:r>
      <w:r>
        <w:t>misconduct,</w:t>
      </w:r>
      <w:r>
        <w:rPr>
          <w:spacing w:val="-7"/>
        </w:rPr>
        <w:t xml:space="preserve"> </w:t>
      </w:r>
      <w:r>
        <w:t>educate personnel regarding the Firm’s expectations and laws governing their conduct, remind personnel that they are in a position of trust and must act with complete propriety at all times, protect the reputation of Bedel, safeguard against the violation of the securities laws, and establish procedures for personnel to follow so that we can determine whether their personnel are complying with the Firm’s ethical</w:t>
      </w:r>
      <w:r>
        <w:rPr>
          <w:spacing w:val="-5"/>
        </w:rPr>
        <w:t xml:space="preserve"> </w:t>
      </w:r>
      <w:r>
        <w:t>principles.  Our Code of Ethics is available free upon request to any client or prospective client by contacting Lonny Elfenbein at (513) 977-8330.</w:t>
      </w:r>
    </w:p>
    <w:p w14:paraId="4AECCC9D" w14:textId="77777777" w:rsidR="00207CBB" w:rsidRDefault="00207CBB">
      <w:pPr>
        <w:rPr>
          <w:sz w:val="24"/>
          <w:szCs w:val="24"/>
        </w:rPr>
      </w:pPr>
    </w:p>
    <w:p w14:paraId="7972888F" w14:textId="77777777" w:rsidR="00207CBB" w:rsidRDefault="007729F9">
      <w:pPr>
        <w:ind w:left="230"/>
        <w:rPr>
          <w:sz w:val="24"/>
          <w:szCs w:val="24"/>
        </w:rPr>
      </w:pPr>
      <w:r>
        <w:rPr>
          <w:sz w:val="24"/>
          <w:szCs w:val="24"/>
        </w:rPr>
        <w:t>We have established the following restrictions in order to ensure our Firm’s fiduciary responsibilities:</w:t>
      </w:r>
    </w:p>
    <w:p w14:paraId="39EDDADF" w14:textId="77777777" w:rsidR="00207CBB" w:rsidRDefault="007729F9">
      <w:pPr>
        <w:pStyle w:val="ListParagraph"/>
        <w:numPr>
          <w:ilvl w:val="0"/>
          <w:numId w:val="3"/>
        </w:numPr>
        <w:tabs>
          <w:tab w:val="left" w:pos="841"/>
        </w:tabs>
        <w:spacing w:before="2" w:line="276" w:lineRule="auto"/>
        <w:ind w:left="951" w:right="214"/>
        <w:rPr>
          <w:rFonts w:ascii="Cambria Math" w:hAnsi="Cambria Math"/>
          <w:sz w:val="24"/>
          <w:szCs w:val="24"/>
        </w:rPr>
      </w:pPr>
      <w:r>
        <w:rPr>
          <w:rFonts w:ascii="Cambria Math" w:hAnsi="Cambria Math"/>
          <w:sz w:val="24"/>
          <w:szCs w:val="24"/>
        </w:rPr>
        <w:t>A director, officer, or employee of Bedel shall not buy or sell any securities for their personal portfolio(s) where their decision is substantially derived, in whole or in part, by reason of his or</w:t>
      </w:r>
      <w:r>
        <w:rPr>
          <w:rFonts w:ascii="Cambria Math" w:hAnsi="Cambria Math"/>
          <w:spacing w:val="-14"/>
          <w:sz w:val="24"/>
          <w:szCs w:val="24"/>
        </w:rPr>
        <w:t xml:space="preserve"> </w:t>
      </w:r>
      <w:r>
        <w:rPr>
          <w:rFonts w:ascii="Cambria Math" w:hAnsi="Cambria Math"/>
          <w:sz w:val="24"/>
          <w:szCs w:val="24"/>
        </w:rPr>
        <w:t>her</w:t>
      </w:r>
      <w:r>
        <w:rPr>
          <w:rFonts w:ascii="Cambria Math" w:hAnsi="Cambria Math"/>
          <w:spacing w:val="-9"/>
          <w:sz w:val="24"/>
          <w:szCs w:val="24"/>
        </w:rPr>
        <w:t xml:space="preserve"> </w:t>
      </w:r>
      <w:r>
        <w:rPr>
          <w:rFonts w:ascii="Cambria Math" w:hAnsi="Cambria Math"/>
          <w:sz w:val="24"/>
          <w:szCs w:val="24"/>
        </w:rPr>
        <w:t>employment</w:t>
      </w:r>
      <w:r>
        <w:rPr>
          <w:rFonts w:ascii="Cambria Math" w:hAnsi="Cambria Math"/>
          <w:spacing w:val="-11"/>
          <w:sz w:val="24"/>
          <w:szCs w:val="24"/>
        </w:rPr>
        <w:t xml:space="preserve"> </w:t>
      </w:r>
      <w:r>
        <w:rPr>
          <w:rFonts w:ascii="Cambria Math" w:hAnsi="Cambria Math"/>
          <w:sz w:val="24"/>
          <w:szCs w:val="24"/>
        </w:rPr>
        <w:t>unless</w:t>
      </w:r>
      <w:r>
        <w:rPr>
          <w:rFonts w:ascii="Cambria Math" w:hAnsi="Cambria Math"/>
          <w:spacing w:val="-13"/>
          <w:sz w:val="24"/>
          <w:szCs w:val="24"/>
        </w:rPr>
        <w:t xml:space="preserve"> </w:t>
      </w:r>
      <w:r>
        <w:rPr>
          <w:rFonts w:ascii="Cambria Math" w:hAnsi="Cambria Math"/>
          <w:sz w:val="24"/>
          <w:szCs w:val="24"/>
        </w:rPr>
        <w:t>the</w:t>
      </w:r>
      <w:r>
        <w:rPr>
          <w:rFonts w:ascii="Cambria Math" w:hAnsi="Cambria Math"/>
          <w:spacing w:val="-15"/>
          <w:sz w:val="24"/>
          <w:szCs w:val="24"/>
        </w:rPr>
        <w:t xml:space="preserve"> </w:t>
      </w:r>
      <w:r>
        <w:rPr>
          <w:rFonts w:ascii="Cambria Math" w:hAnsi="Cambria Math"/>
          <w:sz w:val="24"/>
          <w:szCs w:val="24"/>
        </w:rPr>
        <w:t>information</w:t>
      </w:r>
      <w:r>
        <w:rPr>
          <w:rFonts w:ascii="Cambria Math" w:hAnsi="Cambria Math"/>
          <w:spacing w:val="-12"/>
          <w:sz w:val="24"/>
          <w:szCs w:val="24"/>
        </w:rPr>
        <w:t xml:space="preserve"> </w:t>
      </w:r>
      <w:r>
        <w:rPr>
          <w:rFonts w:ascii="Cambria Math" w:hAnsi="Cambria Math"/>
          <w:sz w:val="24"/>
          <w:szCs w:val="24"/>
        </w:rPr>
        <w:t>is</w:t>
      </w:r>
      <w:r>
        <w:rPr>
          <w:rFonts w:ascii="Cambria Math" w:hAnsi="Cambria Math"/>
          <w:spacing w:val="-12"/>
          <w:sz w:val="24"/>
          <w:szCs w:val="24"/>
        </w:rPr>
        <w:t xml:space="preserve"> </w:t>
      </w:r>
      <w:r>
        <w:rPr>
          <w:rFonts w:ascii="Cambria Math" w:hAnsi="Cambria Math"/>
          <w:sz w:val="24"/>
          <w:szCs w:val="24"/>
        </w:rPr>
        <w:t>also</w:t>
      </w:r>
      <w:r>
        <w:rPr>
          <w:rFonts w:ascii="Cambria Math" w:hAnsi="Cambria Math"/>
          <w:spacing w:val="-15"/>
          <w:sz w:val="24"/>
          <w:szCs w:val="24"/>
        </w:rPr>
        <w:t xml:space="preserve"> </w:t>
      </w:r>
      <w:r>
        <w:rPr>
          <w:rFonts w:ascii="Cambria Math" w:hAnsi="Cambria Math"/>
          <w:sz w:val="24"/>
          <w:szCs w:val="24"/>
        </w:rPr>
        <w:t>available</w:t>
      </w:r>
      <w:r>
        <w:rPr>
          <w:rFonts w:ascii="Cambria Math" w:hAnsi="Cambria Math"/>
          <w:spacing w:val="-15"/>
          <w:sz w:val="24"/>
          <w:szCs w:val="24"/>
        </w:rPr>
        <w:t xml:space="preserve"> </w:t>
      </w:r>
      <w:r>
        <w:rPr>
          <w:rFonts w:ascii="Cambria Math" w:hAnsi="Cambria Math"/>
          <w:sz w:val="24"/>
          <w:szCs w:val="24"/>
        </w:rPr>
        <w:t>to</w:t>
      </w:r>
      <w:r>
        <w:rPr>
          <w:rFonts w:ascii="Cambria Math" w:hAnsi="Cambria Math"/>
          <w:spacing w:val="-14"/>
          <w:sz w:val="24"/>
          <w:szCs w:val="24"/>
        </w:rPr>
        <w:t xml:space="preserve"> </w:t>
      </w:r>
      <w:r>
        <w:rPr>
          <w:rFonts w:ascii="Cambria Math" w:hAnsi="Cambria Math"/>
          <w:sz w:val="24"/>
          <w:szCs w:val="24"/>
        </w:rPr>
        <w:t>the</w:t>
      </w:r>
      <w:r>
        <w:rPr>
          <w:rFonts w:ascii="Cambria Math" w:hAnsi="Cambria Math"/>
          <w:spacing w:val="-16"/>
          <w:sz w:val="24"/>
          <w:szCs w:val="24"/>
        </w:rPr>
        <w:t xml:space="preserve"> </w:t>
      </w:r>
      <w:r>
        <w:rPr>
          <w:rFonts w:ascii="Cambria Math" w:hAnsi="Cambria Math"/>
          <w:sz w:val="24"/>
          <w:szCs w:val="24"/>
        </w:rPr>
        <w:t>investing</w:t>
      </w:r>
      <w:r>
        <w:rPr>
          <w:rFonts w:ascii="Cambria Math" w:hAnsi="Cambria Math"/>
          <w:spacing w:val="-11"/>
          <w:sz w:val="24"/>
          <w:szCs w:val="24"/>
        </w:rPr>
        <w:t xml:space="preserve"> </w:t>
      </w:r>
      <w:r>
        <w:rPr>
          <w:rFonts w:ascii="Cambria Math" w:hAnsi="Cambria Math"/>
          <w:sz w:val="24"/>
          <w:szCs w:val="24"/>
        </w:rPr>
        <w:t>public</w:t>
      </w:r>
      <w:r>
        <w:rPr>
          <w:rFonts w:ascii="Cambria Math" w:hAnsi="Cambria Math"/>
          <w:spacing w:val="-15"/>
          <w:sz w:val="24"/>
          <w:szCs w:val="24"/>
        </w:rPr>
        <w:t xml:space="preserve"> </w:t>
      </w:r>
      <w:r>
        <w:rPr>
          <w:rFonts w:ascii="Cambria Math" w:hAnsi="Cambria Math"/>
          <w:sz w:val="24"/>
          <w:szCs w:val="24"/>
        </w:rPr>
        <w:t>on</w:t>
      </w:r>
      <w:r>
        <w:rPr>
          <w:rFonts w:ascii="Cambria Math" w:hAnsi="Cambria Math"/>
          <w:spacing w:val="-11"/>
          <w:sz w:val="24"/>
          <w:szCs w:val="24"/>
        </w:rPr>
        <w:t xml:space="preserve"> </w:t>
      </w:r>
      <w:r>
        <w:rPr>
          <w:rFonts w:ascii="Cambria Math" w:hAnsi="Cambria Math"/>
          <w:sz w:val="24"/>
          <w:szCs w:val="24"/>
        </w:rPr>
        <w:t>reasonable inquiry. No supervised employee of Bedel shall prefer his or her own interest to that of the advisory client. Trades for supervised employees are traded alongside client</w:t>
      </w:r>
      <w:r>
        <w:rPr>
          <w:rFonts w:ascii="Cambria Math" w:hAnsi="Cambria Math"/>
          <w:spacing w:val="-16"/>
          <w:sz w:val="24"/>
          <w:szCs w:val="24"/>
        </w:rPr>
        <w:t xml:space="preserve"> </w:t>
      </w:r>
      <w:r>
        <w:rPr>
          <w:rFonts w:ascii="Cambria Math" w:hAnsi="Cambria Math"/>
          <w:sz w:val="24"/>
          <w:szCs w:val="24"/>
        </w:rPr>
        <w:t>accounts</w:t>
      </w:r>
    </w:p>
    <w:p w14:paraId="74F27FD7" w14:textId="77777777" w:rsidR="00207CBB" w:rsidRDefault="007729F9">
      <w:pPr>
        <w:pStyle w:val="ListParagraph"/>
        <w:numPr>
          <w:ilvl w:val="0"/>
          <w:numId w:val="3"/>
        </w:numPr>
        <w:tabs>
          <w:tab w:val="left" w:pos="841"/>
        </w:tabs>
        <w:spacing w:line="273" w:lineRule="auto"/>
        <w:ind w:left="951" w:right="220"/>
        <w:rPr>
          <w:rFonts w:ascii="Cambria Math" w:hAnsi="Cambria Math"/>
          <w:sz w:val="24"/>
          <w:szCs w:val="24"/>
        </w:rPr>
      </w:pPr>
      <w:r>
        <w:rPr>
          <w:rFonts w:ascii="Cambria Math" w:hAnsi="Cambria Math"/>
          <w:sz w:val="24"/>
          <w:szCs w:val="24"/>
        </w:rPr>
        <w:t>We emphasize the unrestricted right of the client to decline implementation of any advice rendered, except in situations where we are granted discretionary authority of the client’s account</w:t>
      </w:r>
    </w:p>
    <w:p w14:paraId="161F4B5A" w14:textId="77777777" w:rsidR="00207CBB" w:rsidRDefault="007729F9">
      <w:pPr>
        <w:pStyle w:val="ListParagraph"/>
        <w:numPr>
          <w:ilvl w:val="0"/>
          <w:numId w:val="3"/>
        </w:numPr>
        <w:tabs>
          <w:tab w:val="left" w:pos="841"/>
        </w:tabs>
        <w:spacing w:before="6" w:line="278" w:lineRule="auto"/>
        <w:ind w:left="951" w:right="231"/>
        <w:rPr>
          <w:rFonts w:ascii="Cambria Math" w:hAnsi="Cambria Math"/>
          <w:sz w:val="24"/>
          <w:szCs w:val="24"/>
        </w:rPr>
      </w:pPr>
      <w:r>
        <w:rPr>
          <w:rFonts w:ascii="Cambria Math" w:hAnsi="Cambria Math"/>
          <w:sz w:val="24"/>
          <w:szCs w:val="24"/>
        </w:rPr>
        <w:t>We require that all supervised employees must act in accordance with all applicable Federal and State regulations governing registered investment advisory</w:t>
      </w:r>
      <w:r>
        <w:rPr>
          <w:rFonts w:ascii="Cambria Math" w:hAnsi="Cambria Math"/>
          <w:spacing w:val="-3"/>
          <w:sz w:val="24"/>
          <w:szCs w:val="24"/>
        </w:rPr>
        <w:t xml:space="preserve"> </w:t>
      </w:r>
      <w:r>
        <w:rPr>
          <w:rFonts w:ascii="Cambria Math" w:hAnsi="Cambria Math"/>
          <w:sz w:val="24"/>
          <w:szCs w:val="24"/>
        </w:rPr>
        <w:t>practices</w:t>
      </w:r>
    </w:p>
    <w:p w14:paraId="499A7311" w14:textId="77777777" w:rsidR="00207CBB" w:rsidRDefault="007729F9">
      <w:pPr>
        <w:pStyle w:val="ListParagraph"/>
        <w:numPr>
          <w:ilvl w:val="0"/>
          <w:numId w:val="3"/>
        </w:numPr>
        <w:tabs>
          <w:tab w:val="left" w:pos="841"/>
        </w:tabs>
        <w:spacing w:line="255" w:lineRule="exact"/>
        <w:ind w:left="951" w:hanging="362"/>
        <w:rPr>
          <w:rFonts w:ascii="Cambria Math" w:hAnsi="Cambria Math"/>
          <w:sz w:val="24"/>
          <w:szCs w:val="24"/>
        </w:rPr>
      </w:pPr>
      <w:r>
        <w:rPr>
          <w:rFonts w:ascii="Cambria Math" w:hAnsi="Cambria Math"/>
          <w:sz w:val="24"/>
          <w:szCs w:val="24"/>
        </w:rPr>
        <w:t>Any supervised employee not in observance of the above could be subject to</w:t>
      </w:r>
      <w:r>
        <w:rPr>
          <w:rFonts w:ascii="Cambria Math" w:hAnsi="Cambria Math"/>
          <w:spacing w:val="-22"/>
          <w:sz w:val="24"/>
          <w:szCs w:val="24"/>
        </w:rPr>
        <w:t xml:space="preserve"> </w:t>
      </w:r>
      <w:r>
        <w:rPr>
          <w:rFonts w:ascii="Cambria Math" w:hAnsi="Cambria Math"/>
          <w:sz w:val="24"/>
          <w:szCs w:val="24"/>
        </w:rPr>
        <w:t>termination</w:t>
      </w:r>
    </w:p>
    <w:p w14:paraId="453D35EE" w14:textId="77777777" w:rsidR="00207CBB" w:rsidRDefault="00207CBB">
      <w:pPr>
        <w:pStyle w:val="ListParagraph"/>
        <w:tabs>
          <w:tab w:val="left" w:pos="841"/>
        </w:tabs>
        <w:spacing w:line="255" w:lineRule="exact"/>
        <w:ind w:left="951" w:firstLine="0"/>
        <w:rPr>
          <w:rFonts w:ascii="Cambria Math" w:hAnsi="Cambria Math"/>
          <w:sz w:val="24"/>
          <w:szCs w:val="24"/>
        </w:rPr>
      </w:pPr>
    </w:p>
    <w:p w14:paraId="584AD4BC" w14:textId="77777777" w:rsidR="00207CBB" w:rsidRDefault="007729F9">
      <w:pPr>
        <w:pStyle w:val="Heading1"/>
        <w:ind w:left="0" w:firstLine="230"/>
        <w:jc w:val="left"/>
      </w:pPr>
      <w:bookmarkStart w:id="18" w:name="_bookmark9"/>
      <w:bookmarkStart w:id="19" w:name="_Toc201066084"/>
      <w:bookmarkEnd w:id="18"/>
      <w:r>
        <w:t>Item 12: Brokerage Practices</w:t>
      </w:r>
      <w:bookmarkEnd w:id="19"/>
    </w:p>
    <w:p w14:paraId="49D01201" w14:textId="77777777" w:rsidR="00207CBB" w:rsidRDefault="00207CBB">
      <w:pPr>
        <w:spacing w:before="1"/>
        <w:ind w:left="234"/>
        <w:rPr>
          <w:b/>
          <w:sz w:val="28"/>
          <w:u w:val="single"/>
        </w:rPr>
      </w:pPr>
    </w:p>
    <w:p w14:paraId="4E4F84CF" w14:textId="77777777" w:rsidR="00207CBB" w:rsidRDefault="007729F9">
      <w:pPr>
        <w:pStyle w:val="BodyText"/>
        <w:spacing w:before="7"/>
        <w:ind w:left="230" w:right="333"/>
      </w:pPr>
      <w:r>
        <w:t>There is limited trading authority to the Adviser over the client’s account(s). Adviser can determine the type of securities to be bought or sold as well as the amount. The client signs a limited power of attorney to allow such trading by the Adviser (see Item 16, Investment Discretion, Page 15).</w:t>
      </w:r>
    </w:p>
    <w:p w14:paraId="5BA6C7DF" w14:textId="77777777" w:rsidR="00207CBB" w:rsidRDefault="00207CBB">
      <w:pPr>
        <w:pStyle w:val="BodyText"/>
      </w:pPr>
    </w:p>
    <w:p w14:paraId="284EAB93" w14:textId="77777777" w:rsidR="00207CBB" w:rsidRDefault="007729F9">
      <w:pPr>
        <w:pStyle w:val="BodyText"/>
        <w:ind w:left="230" w:right="334"/>
      </w:pPr>
      <w:r>
        <w:t>Generally, it is the Adviser’s preference to utilize the services of Schwab Discount Brokerage, Fidelity Investments Institutional Brokerage, or other Adviser approved brokers (or custodians). No brokerage commissions from any broker are received by Adviser or its associated persons. Transaction fees are kept by each broker. A</w:t>
      </w:r>
      <w:r>
        <w:rPr>
          <w:spacing w:val="24"/>
        </w:rPr>
        <w:t xml:space="preserve"> </w:t>
      </w:r>
      <w:r>
        <w:t>client Adviser selected broker could have higher or lower transactions fees than other available brokers. Therefore, best execution for transactions might not be achieved; however, the Adviser annually reviews the broker service based on various factors. Schwab provides the Adviser with access to its institutional trading and custody services, which are typically not available</w:t>
      </w:r>
      <w:r>
        <w:rPr>
          <w:spacing w:val="-4"/>
        </w:rPr>
        <w:t xml:space="preserve"> </w:t>
      </w:r>
      <w:r>
        <w:t>to Schwab</w:t>
      </w:r>
      <w:r>
        <w:rPr>
          <w:spacing w:val="-4"/>
        </w:rPr>
        <w:t xml:space="preserve"> </w:t>
      </w:r>
      <w:r>
        <w:t>retail investors.</w:t>
      </w:r>
      <w:r>
        <w:rPr>
          <w:spacing w:val="-4"/>
        </w:rPr>
        <w:t xml:space="preserve"> </w:t>
      </w:r>
      <w:r>
        <w:t>The</w:t>
      </w:r>
      <w:r>
        <w:rPr>
          <w:spacing w:val="-4"/>
        </w:rPr>
        <w:t xml:space="preserve"> </w:t>
      </w:r>
      <w:r>
        <w:t>services</w:t>
      </w:r>
      <w:r>
        <w:rPr>
          <w:spacing w:val="-5"/>
        </w:rPr>
        <w:t xml:space="preserve"> </w:t>
      </w:r>
      <w:r>
        <w:t>are</w:t>
      </w:r>
      <w:r>
        <w:rPr>
          <w:spacing w:val="-4"/>
        </w:rPr>
        <w:t xml:space="preserve"> </w:t>
      </w:r>
      <w:r>
        <w:t>made</w:t>
      </w:r>
      <w:r>
        <w:rPr>
          <w:spacing w:val="-4"/>
        </w:rPr>
        <w:t xml:space="preserve"> </w:t>
      </w:r>
      <w:r>
        <w:t>available</w:t>
      </w:r>
      <w:r>
        <w:rPr>
          <w:spacing w:val="-4"/>
        </w:rPr>
        <w:t xml:space="preserve"> </w:t>
      </w:r>
      <w:r>
        <w:t>at</w:t>
      </w:r>
      <w:r>
        <w:rPr>
          <w:spacing w:val="-3"/>
        </w:rPr>
        <w:t xml:space="preserve"> </w:t>
      </w:r>
      <w:r>
        <w:t>no</w:t>
      </w:r>
      <w:r>
        <w:rPr>
          <w:spacing w:val="-1"/>
        </w:rPr>
        <w:t xml:space="preserve"> </w:t>
      </w:r>
      <w:r>
        <w:t>charge,</w:t>
      </w:r>
      <w:r>
        <w:rPr>
          <w:spacing w:val="-3"/>
        </w:rPr>
        <w:t xml:space="preserve"> </w:t>
      </w:r>
      <w:r>
        <w:t>as</w:t>
      </w:r>
      <w:r>
        <w:rPr>
          <w:spacing w:val="-5"/>
        </w:rPr>
        <w:t xml:space="preserve"> </w:t>
      </w:r>
      <w:r>
        <w:t>long</w:t>
      </w:r>
      <w:r>
        <w:rPr>
          <w:spacing w:val="-1"/>
        </w:rPr>
        <w:t xml:space="preserve"> </w:t>
      </w:r>
      <w:r>
        <w:t xml:space="preserve">as </w:t>
      </w:r>
      <w:r>
        <w:lastRenderedPageBreak/>
        <w:t xml:space="preserve">a total of at least $10 million of our clients’ assets are maintained in accounts at Schwab Institutional. Client accounts maintained in Schwab custody generally are not charged separately for custody, as Schwab </w:t>
      </w:r>
      <w:r>
        <w:rPr>
          <w:spacing w:val="2"/>
        </w:rPr>
        <w:t xml:space="preserve">is </w:t>
      </w:r>
      <w:r>
        <w:t>compensated by account holders through commissions or</w:t>
      </w:r>
      <w:r>
        <w:rPr>
          <w:spacing w:val="-7"/>
        </w:rPr>
        <w:t xml:space="preserve"> </w:t>
      </w:r>
      <w:r>
        <w:t>other</w:t>
      </w:r>
      <w:r>
        <w:rPr>
          <w:spacing w:val="-7"/>
        </w:rPr>
        <w:t xml:space="preserve"> </w:t>
      </w:r>
      <w:r>
        <w:t>transaction-related</w:t>
      </w:r>
      <w:r>
        <w:rPr>
          <w:spacing w:val="-10"/>
        </w:rPr>
        <w:t xml:space="preserve"> </w:t>
      </w:r>
      <w:r>
        <w:t>fees</w:t>
      </w:r>
      <w:r>
        <w:rPr>
          <w:spacing w:val="-14"/>
        </w:rPr>
        <w:t xml:space="preserve"> </w:t>
      </w:r>
      <w:r>
        <w:t>for</w:t>
      </w:r>
      <w:r>
        <w:rPr>
          <w:spacing w:val="-11"/>
        </w:rPr>
        <w:t xml:space="preserve"> </w:t>
      </w:r>
      <w:r>
        <w:t>securities</w:t>
      </w:r>
      <w:r>
        <w:rPr>
          <w:spacing w:val="-14"/>
        </w:rPr>
        <w:t xml:space="preserve"> </w:t>
      </w:r>
      <w:r>
        <w:t>trades</w:t>
      </w:r>
      <w:r>
        <w:rPr>
          <w:spacing w:val="-13"/>
        </w:rPr>
        <w:t xml:space="preserve"> </w:t>
      </w:r>
      <w:r>
        <w:t>that</w:t>
      </w:r>
      <w:r>
        <w:rPr>
          <w:spacing w:val="-11"/>
        </w:rPr>
        <w:t xml:space="preserve"> </w:t>
      </w:r>
      <w:r>
        <w:t>are</w:t>
      </w:r>
      <w:r>
        <w:rPr>
          <w:spacing w:val="-9"/>
        </w:rPr>
        <w:t xml:space="preserve"> </w:t>
      </w:r>
      <w:r>
        <w:t>executed</w:t>
      </w:r>
      <w:r>
        <w:rPr>
          <w:spacing w:val="-11"/>
        </w:rPr>
        <w:t xml:space="preserve"> </w:t>
      </w:r>
      <w:r>
        <w:t>through</w:t>
      </w:r>
      <w:r>
        <w:rPr>
          <w:spacing w:val="-9"/>
        </w:rPr>
        <w:t xml:space="preserve"> </w:t>
      </w:r>
      <w:r>
        <w:t>Schwab.</w:t>
      </w:r>
      <w:r>
        <w:rPr>
          <w:spacing w:val="-12"/>
        </w:rPr>
        <w:t xml:space="preserve"> </w:t>
      </w:r>
      <w:r>
        <w:t xml:space="preserve">The Adviser </w:t>
      </w:r>
      <w:r>
        <w:rPr>
          <w:spacing w:val="2"/>
        </w:rPr>
        <w:t xml:space="preserve">is </w:t>
      </w:r>
      <w:r>
        <w:t>not affiliated with Schwab. Employees of our firm are not Registered Representatives</w:t>
      </w:r>
      <w:r>
        <w:rPr>
          <w:spacing w:val="-1"/>
        </w:rPr>
        <w:t xml:space="preserve"> </w:t>
      </w:r>
      <w:r>
        <w:t>of</w:t>
      </w:r>
      <w:r>
        <w:rPr>
          <w:spacing w:val="-9"/>
        </w:rPr>
        <w:t xml:space="preserve"> </w:t>
      </w:r>
      <w:r>
        <w:t>Schwab</w:t>
      </w:r>
      <w:r>
        <w:rPr>
          <w:spacing w:val="-5"/>
        </w:rPr>
        <w:t xml:space="preserve"> </w:t>
      </w:r>
      <w:r>
        <w:t>and</w:t>
      </w:r>
      <w:r>
        <w:rPr>
          <w:spacing w:val="-8"/>
        </w:rPr>
        <w:t xml:space="preserve"> </w:t>
      </w:r>
      <w:r>
        <w:t>do</w:t>
      </w:r>
      <w:r>
        <w:rPr>
          <w:spacing w:val="-6"/>
        </w:rPr>
        <w:t xml:space="preserve"> </w:t>
      </w:r>
      <w:r>
        <w:t>not</w:t>
      </w:r>
      <w:r>
        <w:rPr>
          <w:spacing w:val="-9"/>
        </w:rPr>
        <w:t xml:space="preserve"> </w:t>
      </w:r>
      <w:r>
        <w:t>receive</w:t>
      </w:r>
      <w:r>
        <w:rPr>
          <w:spacing w:val="-7"/>
        </w:rPr>
        <w:t xml:space="preserve"> </w:t>
      </w:r>
      <w:r>
        <w:t>any</w:t>
      </w:r>
      <w:r>
        <w:rPr>
          <w:spacing w:val="-5"/>
        </w:rPr>
        <w:t xml:space="preserve"> </w:t>
      </w:r>
      <w:r>
        <w:t>commissions</w:t>
      </w:r>
      <w:r>
        <w:rPr>
          <w:spacing w:val="-4"/>
        </w:rPr>
        <w:t xml:space="preserve"> </w:t>
      </w:r>
      <w:r>
        <w:t>or</w:t>
      </w:r>
      <w:r>
        <w:rPr>
          <w:spacing w:val="-3"/>
        </w:rPr>
        <w:t xml:space="preserve"> </w:t>
      </w:r>
      <w:r>
        <w:t>fees</w:t>
      </w:r>
      <w:r>
        <w:rPr>
          <w:spacing w:val="-7"/>
        </w:rPr>
        <w:t xml:space="preserve"> </w:t>
      </w:r>
      <w:r>
        <w:t>from</w:t>
      </w:r>
      <w:r>
        <w:rPr>
          <w:spacing w:val="-7"/>
        </w:rPr>
        <w:t xml:space="preserve"> </w:t>
      </w:r>
      <w:r>
        <w:t>recommending the services. Schwab makes available software and technology to facilitate trade execution and</w:t>
      </w:r>
      <w:r>
        <w:rPr>
          <w:spacing w:val="-10"/>
        </w:rPr>
        <w:t xml:space="preserve"> </w:t>
      </w:r>
      <w:r>
        <w:t>access</w:t>
      </w:r>
      <w:r>
        <w:rPr>
          <w:spacing w:val="-8"/>
        </w:rPr>
        <w:t xml:space="preserve"> </w:t>
      </w:r>
      <w:r>
        <w:t>to</w:t>
      </w:r>
      <w:r>
        <w:rPr>
          <w:spacing w:val="-9"/>
        </w:rPr>
        <w:t xml:space="preserve"> </w:t>
      </w:r>
      <w:r>
        <w:t>client</w:t>
      </w:r>
      <w:r>
        <w:rPr>
          <w:spacing w:val="-9"/>
        </w:rPr>
        <w:t xml:space="preserve"> </w:t>
      </w:r>
      <w:r>
        <w:t>account</w:t>
      </w:r>
      <w:r>
        <w:rPr>
          <w:spacing w:val="-9"/>
        </w:rPr>
        <w:t xml:space="preserve"> </w:t>
      </w:r>
      <w:r>
        <w:t>data.</w:t>
      </w:r>
      <w:r>
        <w:rPr>
          <w:spacing w:val="-12"/>
        </w:rPr>
        <w:t xml:space="preserve"> </w:t>
      </w:r>
      <w:r>
        <w:t>Adviser</w:t>
      </w:r>
      <w:r>
        <w:rPr>
          <w:spacing w:val="-9"/>
        </w:rPr>
        <w:t xml:space="preserve"> </w:t>
      </w:r>
      <w:r>
        <w:t>receives</w:t>
      </w:r>
      <w:r>
        <w:rPr>
          <w:spacing w:val="-12"/>
        </w:rPr>
        <w:t xml:space="preserve"> </w:t>
      </w:r>
      <w:r>
        <w:t>certain</w:t>
      </w:r>
      <w:r>
        <w:rPr>
          <w:spacing w:val="-10"/>
        </w:rPr>
        <w:t xml:space="preserve"> </w:t>
      </w:r>
      <w:r>
        <w:t>benefits,</w:t>
      </w:r>
      <w:r>
        <w:rPr>
          <w:spacing w:val="-11"/>
        </w:rPr>
        <w:t xml:space="preserve"> </w:t>
      </w:r>
      <w:r>
        <w:t>including,</w:t>
      </w:r>
      <w:r>
        <w:rPr>
          <w:spacing w:val="-11"/>
        </w:rPr>
        <w:t xml:space="preserve"> </w:t>
      </w:r>
      <w:r>
        <w:t>but</w:t>
      </w:r>
      <w:r>
        <w:rPr>
          <w:spacing w:val="-11"/>
        </w:rPr>
        <w:t xml:space="preserve"> </w:t>
      </w:r>
      <w:r>
        <w:t>not</w:t>
      </w:r>
      <w:r>
        <w:rPr>
          <w:spacing w:val="-10"/>
        </w:rPr>
        <w:t xml:space="preserve"> </w:t>
      </w:r>
      <w:r>
        <w:t>limited to;</w:t>
      </w:r>
      <w:r>
        <w:rPr>
          <w:spacing w:val="-5"/>
        </w:rPr>
        <w:t xml:space="preserve"> </w:t>
      </w:r>
      <w:r>
        <w:t>certain</w:t>
      </w:r>
      <w:r>
        <w:rPr>
          <w:spacing w:val="-3"/>
        </w:rPr>
        <w:t xml:space="preserve"> </w:t>
      </w:r>
      <w:r>
        <w:t>practice</w:t>
      </w:r>
      <w:r>
        <w:rPr>
          <w:spacing w:val="-6"/>
        </w:rPr>
        <w:t xml:space="preserve"> </w:t>
      </w:r>
      <w:r>
        <w:t>management</w:t>
      </w:r>
      <w:r>
        <w:rPr>
          <w:spacing w:val="-4"/>
        </w:rPr>
        <w:t xml:space="preserve"> </w:t>
      </w:r>
      <w:r>
        <w:t>software</w:t>
      </w:r>
      <w:r>
        <w:rPr>
          <w:spacing w:val="-5"/>
        </w:rPr>
        <w:t xml:space="preserve"> </w:t>
      </w:r>
      <w:r>
        <w:t>and</w:t>
      </w:r>
      <w:r>
        <w:rPr>
          <w:spacing w:val="-7"/>
        </w:rPr>
        <w:t xml:space="preserve"> </w:t>
      </w:r>
      <w:r>
        <w:t>resources,</w:t>
      </w:r>
      <w:r>
        <w:rPr>
          <w:spacing w:val="-5"/>
        </w:rPr>
        <w:t xml:space="preserve"> </w:t>
      </w:r>
      <w:r>
        <w:t>ability</w:t>
      </w:r>
      <w:r>
        <w:rPr>
          <w:spacing w:val="-5"/>
        </w:rPr>
        <w:t xml:space="preserve"> </w:t>
      </w:r>
      <w:r>
        <w:t>to</w:t>
      </w:r>
      <w:r>
        <w:rPr>
          <w:spacing w:val="-1"/>
        </w:rPr>
        <w:t xml:space="preserve"> </w:t>
      </w:r>
      <w:r>
        <w:t>deduct</w:t>
      </w:r>
      <w:r>
        <w:rPr>
          <w:spacing w:val="-8"/>
        </w:rPr>
        <w:t xml:space="preserve"> </w:t>
      </w:r>
      <w:r>
        <w:t>fees</w:t>
      </w:r>
      <w:r>
        <w:rPr>
          <w:spacing w:val="-6"/>
        </w:rPr>
        <w:t xml:space="preserve"> </w:t>
      </w:r>
      <w:r>
        <w:t>directly</w:t>
      </w:r>
      <w:r>
        <w:rPr>
          <w:spacing w:val="-5"/>
        </w:rPr>
        <w:t xml:space="preserve"> </w:t>
      </w:r>
      <w:r>
        <w:t>from client accounts, marketing support, educational events, receipt of compliance publications, trade desk availability, and access to mutual funds which generally require significantly higher</w:t>
      </w:r>
      <w:r>
        <w:rPr>
          <w:spacing w:val="-11"/>
        </w:rPr>
        <w:t xml:space="preserve"> </w:t>
      </w:r>
      <w:r>
        <w:t>minimum</w:t>
      </w:r>
      <w:r>
        <w:rPr>
          <w:spacing w:val="-11"/>
        </w:rPr>
        <w:t xml:space="preserve"> </w:t>
      </w:r>
      <w:r>
        <w:t>initial</w:t>
      </w:r>
      <w:r>
        <w:rPr>
          <w:spacing w:val="-10"/>
        </w:rPr>
        <w:t xml:space="preserve"> </w:t>
      </w:r>
      <w:r>
        <w:t>investments</w:t>
      </w:r>
      <w:r>
        <w:rPr>
          <w:spacing w:val="-13"/>
        </w:rPr>
        <w:t xml:space="preserve"> </w:t>
      </w:r>
      <w:r>
        <w:t>or</w:t>
      </w:r>
      <w:r>
        <w:rPr>
          <w:spacing w:val="-11"/>
        </w:rPr>
        <w:t xml:space="preserve"> </w:t>
      </w:r>
      <w:r>
        <w:t>are</w:t>
      </w:r>
      <w:r>
        <w:rPr>
          <w:spacing w:val="-14"/>
        </w:rPr>
        <w:t xml:space="preserve"> </w:t>
      </w:r>
      <w:r>
        <w:t>generally</w:t>
      </w:r>
      <w:r>
        <w:rPr>
          <w:spacing w:val="-13"/>
        </w:rPr>
        <w:t xml:space="preserve"> </w:t>
      </w:r>
      <w:r>
        <w:t>available</w:t>
      </w:r>
      <w:r>
        <w:rPr>
          <w:spacing w:val="-14"/>
        </w:rPr>
        <w:t xml:space="preserve"> </w:t>
      </w:r>
      <w:r>
        <w:t>only</w:t>
      </w:r>
      <w:r>
        <w:rPr>
          <w:spacing w:val="-13"/>
        </w:rPr>
        <w:t xml:space="preserve"> </w:t>
      </w:r>
      <w:r>
        <w:t>to</w:t>
      </w:r>
      <w:r>
        <w:rPr>
          <w:spacing w:val="-10"/>
        </w:rPr>
        <w:t xml:space="preserve"> </w:t>
      </w:r>
      <w:r>
        <w:t>institutional</w:t>
      </w:r>
      <w:r>
        <w:rPr>
          <w:spacing w:val="-10"/>
        </w:rPr>
        <w:t xml:space="preserve"> </w:t>
      </w:r>
      <w:r>
        <w:t>investors.</w:t>
      </w:r>
    </w:p>
    <w:p w14:paraId="6D190004" w14:textId="77777777" w:rsidR="00207CBB" w:rsidRDefault="00207CBB"/>
    <w:p w14:paraId="73227C95" w14:textId="77777777" w:rsidR="00207CBB" w:rsidRDefault="007729F9">
      <w:pPr>
        <w:ind w:left="230"/>
      </w:pPr>
      <w:r>
        <w:rPr>
          <w:sz w:val="24"/>
        </w:rPr>
        <w:t xml:space="preserve">The benefits received through participation in any custodian program could depend upon the amount of transactions directed to, or amount of assets custodied by the custodian. </w:t>
      </w:r>
    </w:p>
    <w:p w14:paraId="0D1245F6" w14:textId="77777777" w:rsidR="00207CBB" w:rsidRDefault="00207CBB"/>
    <w:p w14:paraId="11129C27" w14:textId="77777777" w:rsidR="00207CBB" w:rsidRDefault="007729F9">
      <w:pPr>
        <w:pStyle w:val="BodyText"/>
        <w:ind w:left="230" w:right="342"/>
      </w:pPr>
      <w:r>
        <w:t>Participation in custodian programs results in a potential conflict of interest for our firm, as the receipt of the above benefits can create an incentive for us to recommend the custodian to clients.</w:t>
      </w:r>
    </w:p>
    <w:p w14:paraId="11FD36F9" w14:textId="77777777" w:rsidR="00207CBB" w:rsidRDefault="00207CBB">
      <w:pPr>
        <w:pStyle w:val="BodyText"/>
        <w:spacing w:before="2"/>
      </w:pPr>
    </w:p>
    <w:p w14:paraId="3A32A7C7" w14:textId="77777777" w:rsidR="00207CBB" w:rsidRDefault="007729F9">
      <w:pPr>
        <w:pStyle w:val="BodyText"/>
        <w:ind w:left="230" w:right="342"/>
      </w:pPr>
      <w:r>
        <w:t xml:space="preserve">At times, Adviser could receive compensation from a custodian, or any other third party, </w:t>
      </w:r>
      <w:r>
        <w:rPr>
          <w:spacing w:val="-5"/>
        </w:rPr>
        <w:t xml:space="preserve">to </w:t>
      </w:r>
      <w:r>
        <w:t>assist with client seminars or presentations. The compensation received from a custodian, or</w:t>
      </w:r>
      <w:r>
        <w:rPr>
          <w:spacing w:val="-8"/>
        </w:rPr>
        <w:t xml:space="preserve"> </w:t>
      </w:r>
      <w:r>
        <w:rPr>
          <w:spacing w:val="-4"/>
        </w:rPr>
        <w:t>any</w:t>
      </w:r>
      <w:r>
        <w:rPr>
          <w:spacing w:val="-18"/>
        </w:rPr>
        <w:t xml:space="preserve"> </w:t>
      </w:r>
      <w:r>
        <w:t>other</w:t>
      </w:r>
      <w:r>
        <w:rPr>
          <w:spacing w:val="-7"/>
        </w:rPr>
        <w:t xml:space="preserve"> </w:t>
      </w:r>
      <w:r>
        <w:t>third</w:t>
      </w:r>
      <w:r>
        <w:rPr>
          <w:spacing w:val="-8"/>
        </w:rPr>
        <w:t xml:space="preserve"> </w:t>
      </w:r>
      <w:r>
        <w:t>party,</w:t>
      </w:r>
      <w:r>
        <w:rPr>
          <w:spacing w:val="-10"/>
        </w:rPr>
        <w:t xml:space="preserve"> </w:t>
      </w:r>
      <w:r>
        <w:t>typically</w:t>
      </w:r>
      <w:r>
        <w:rPr>
          <w:spacing w:val="-9"/>
        </w:rPr>
        <w:t xml:space="preserve"> </w:t>
      </w:r>
      <w:r>
        <w:t>is</w:t>
      </w:r>
      <w:r>
        <w:rPr>
          <w:spacing w:val="-10"/>
        </w:rPr>
        <w:t xml:space="preserve"> </w:t>
      </w:r>
      <w:r>
        <w:t>a</w:t>
      </w:r>
      <w:r>
        <w:rPr>
          <w:spacing w:val="-11"/>
        </w:rPr>
        <w:t xml:space="preserve"> </w:t>
      </w:r>
      <w:r>
        <w:t>nominal</w:t>
      </w:r>
      <w:r>
        <w:rPr>
          <w:spacing w:val="-7"/>
        </w:rPr>
        <w:t xml:space="preserve"> </w:t>
      </w:r>
      <w:r>
        <w:t>amount.</w:t>
      </w:r>
      <w:r>
        <w:rPr>
          <w:spacing w:val="-14"/>
        </w:rPr>
        <w:t xml:space="preserve"> </w:t>
      </w:r>
      <w:r>
        <w:t>However,</w:t>
      </w:r>
      <w:r>
        <w:rPr>
          <w:spacing w:val="-10"/>
        </w:rPr>
        <w:t xml:space="preserve"> </w:t>
      </w:r>
      <w:r>
        <w:t>this</w:t>
      </w:r>
      <w:r>
        <w:rPr>
          <w:spacing w:val="-10"/>
        </w:rPr>
        <w:t xml:space="preserve"> </w:t>
      </w:r>
      <w:r>
        <w:t>nominal</w:t>
      </w:r>
      <w:r>
        <w:rPr>
          <w:spacing w:val="-8"/>
        </w:rPr>
        <w:t xml:space="preserve"> </w:t>
      </w:r>
      <w:r>
        <w:t xml:space="preserve">compensation </w:t>
      </w:r>
      <w:r>
        <w:rPr>
          <w:spacing w:val="-3"/>
        </w:rPr>
        <w:t xml:space="preserve">causes </w:t>
      </w:r>
      <w:r>
        <w:t>a conflict of interest which Adviser considers when performing its annual due diligence review. When recommending custodians, Adviser considers commissions charged by</w:t>
      </w:r>
      <w:r>
        <w:rPr>
          <w:spacing w:val="-2"/>
        </w:rPr>
        <w:t xml:space="preserve"> </w:t>
      </w:r>
      <w:r>
        <w:t>custodians,</w:t>
      </w:r>
      <w:r>
        <w:rPr>
          <w:spacing w:val="-1"/>
        </w:rPr>
        <w:t xml:space="preserve"> </w:t>
      </w:r>
      <w:r>
        <w:t>ability</w:t>
      </w:r>
      <w:r>
        <w:rPr>
          <w:spacing w:val="-8"/>
        </w:rPr>
        <w:t xml:space="preserve"> </w:t>
      </w:r>
      <w:r>
        <w:t>to</w:t>
      </w:r>
      <w:r>
        <w:rPr>
          <w:spacing w:val="-7"/>
        </w:rPr>
        <w:t xml:space="preserve"> </w:t>
      </w:r>
      <w:r>
        <w:t>buy</w:t>
      </w:r>
      <w:r>
        <w:rPr>
          <w:spacing w:val="-13"/>
        </w:rPr>
        <w:t xml:space="preserve"> </w:t>
      </w:r>
      <w:r>
        <w:t>and</w:t>
      </w:r>
      <w:r>
        <w:rPr>
          <w:spacing w:val="-8"/>
        </w:rPr>
        <w:t xml:space="preserve"> </w:t>
      </w:r>
      <w:r>
        <w:t>sell</w:t>
      </w:r>
      <w:r>
        <w:rPr>
          <w:spacing w:val="-11"/>
        </w:rPr>
        <w:t xml:space="preserve"> </w:t>
      </w:r>
      <w:r>
        <w:t>the</w:t>
      </w:r>
      <w:r>
        <w:rPr>
          <w:spacing w:val="-10"/>
        </w:rPr>
        <w:t xml:space="preserve"> </w:t>
      </w:r>
      <w:r>
        <w:t>securities</w:t>
      </w:r>
      <w:r>
        <w:rPr>
          <w:spacing w:val="-10"/>
        </w:rPr>
        <w:t xml:space="preserve"> </w:t>
      </w:r>
      <w:r>
        <w:t>Adviser</w:t>
      </w:r>
      <w:r>
        <w:rPr>
          <w:spacing w:val="-8"/>
        </w:rPr>
        <w:t xml:space="preserve"> </w:t>
      </w:r>
      <w:r>
        <w:t>recommends,</w:t>
      </w:r>
      <w:r>
        <w:rPr>
          <w:spacing w:val="-8"/>
        </w:rPr>
        <w:t xml:space="preserve"> </w:t>
      </w:r>
      <w:r>
        <w:t>and</w:t>
      </w:r>
      <w:r>
        <w:rPr>
          <w:spacing w:val="-11"/>
        </w:rPr>
        <w:t xml:space="preserve"> </w:t>
      </w:r>
      <w:r>
        <w:t>the</w:t>
      </w:r>
      <w:r>
        <w:rPr>
          <w:spacing w:val="-11"/>
        </w:rPr>
        <w:t xml:space="preserve"> </w:t>
      </w:r>
      <w:r>
        <w:t xml:space="preserve">custodian’s ability to provide all appropriate confirmations and statements in a timely basis. Other factors could </w:t>
      </w:r>
      <w:r>
        <w:rPr>
          <w:spacing w:val="-4"/>
        </w:rPr>
        <w:t xml:space="preserve">be </w:t>
      </w:r>
      <w:r>
        <w:t>considered and could affect Adviser’s recommendation, such as quality of customer service.</w:t>
      </w:r>
    </w:p>
    <w:p w14:paraId="445B5569" w14:textId="77777777" w:rsidR="00207CBB" w:rsidRDefault="00207CBB">
      <w:pPr>
        <w:pStyle w:val="BodyText"/>
        <w:spacing w:before="4"/>
      </w:pPr>
    </w:p>
    <w:p w14:paraId="7EE867FF" w14:textId="77777777" w:rsidR="00207CBB" w:rsidRDefault="007729F9">
      <w:pPr>
        <w:pStyle w:val="BodyText"/>
        <w:spacing w:before="1"/>
        <w:ind w:left="230" w:right="335"/>
      </w:pPr>
      <w:r>
        <w:t>Since each account is managed individually, it is possible that similar trades submitted for different clients at different times can be processed differently. As a result, clients could receive different pricing for similar trades. We do not feel this adversely affects our client accounts. All mutual fund trades, no matter what time they are placed, receive the same end of day pricing.</w:t>
      </w:r>
    </w:p>
    <w:p w14:paraId="34EA8D16" w14:textId="77777777" w:rsidR="00207CBB" w:rsidRDefault="00207CBB">
      <w:pPr>
        <w:pStyle w:val="BodyText"/>
        <w:spacing w:before="9"/>
        <w:rPr>
          <w:sz w:val="23"/>
        </w:rPr>
      </w:pPr>
    </w:p>
    <w:p w14:paraId="25334AC1" w14:textId="77777777" w:rsidR="00207CBB" w:rsidRDefault="007729F9">
      <w:pPr>
        <w:pStyle w:val="BodyText"/>
        <w:ind w:left="234" w:right="338"/>
      </w:pPr>
      <w:r>
        <w:t xml:space="preserve">Occasionally, the Adviser could make an error in submitting a trade order on your behalf. </w:t>
      </w:r>
      <w:r>
        <w:rPr>
          <w:spacing w:val="-4"/>
        </w:rPr>
        <w:t xml:space="preserve">When </w:t>
      </w:r>
      <w:r>
        <w:t>this occurs, we can place a correcting trade with the broker-dealer which has custody of</w:t>
      </w:r>
      <w:r>
        <w:rPr>
          <w:spacing w:val="-3"/>
        </w:rPr>
        <w:t xml:space="preserve"> your</w:t>
      </w:r>
      <w:r>
        <w:rPr>
          <w:spacing w:val="-10"/>
        </w:rPr>
        <w:t xml:space="preserve"> </w:t>
      </w:r>
      <w:r>
        <w:t>account.</w:t>
      </w:r>
      <w:r>
        <w:rPr>
          <w:spacing w:val="-4"/>
        </w:rPr>
        <w:t xml:space="preserve"> </w:t>
      </w:r>
      <w:r>
        <w:t>If</w:t>
      </w:r>
      <w:r>
        <w:rPr>
          <w:spacing w:val="-3"/>
        </w:rPr>
        <w:t xml:space="preserve"> </w:t>
      </w:r>
      <w:r>
        <w:t>an</w:t>
      </w:r>
      <w:r>
        <w:rPr>
          <w:spacing w:val="-3"/>
        </w:rPr>
        <w:t xml:space="preserve"> </w:t>
      </w:r>
      <w:r>
        <w:t>investment</w:t>
      </w:r>
      <w:r>
        <w:rPr>
          <w:spacing w:val="-2"/>
        </w:rPr>
        <w:t xml:space="preserve"> </w:t>
      </w:r>
      <w:r>
        <w:t>gain</w:t>
      </w:r>
      <w:r>
        <w:rPr>
          <w:spacing w:val="-2"/>
        </w:rPr>
        <w:t xml:space="preserve"> </w:t>
      </w:r>
      <w:r>
        <w:t>results</w:t>
      </w:r>
      <w:r>
        <w:rPr>
          <w:spacing w:val="-5"/>
        </w:rPr>
        <w:t xml:space="preserve"> </w:t>
      </w:r>
      <w:r>
        <w:t>from</w:t>
      </w:r>
      <w:r>
        <w:rPr>
          <w:spacing w:val="-1"/>
        </w:rPr>
        <w:t xml:space="preserve"> </w:t>
      </w:r>
      <w:r>
        <w:t>the</w:t>
      </w:r>
      <w:r>
        <w:rPr>
          <w:spacing w:val="-4"/>
        </w:rPr>
        <w:t xml:space="preserve"> </w:t>
      </w:r>
      <w:r>
        <w:t>correcting</w:t>
      </w:r>
      <w:r>
        <w:rPr>
          <w:spacing w:val="-1"/>
        </w:rPr>
        <w:t xml:space="preserve"> </w:t>
      </w:r>
      <w:r>
        <w:t>trade,</w:t>
      </w:r>
      <w:r>
        <w:rPr>
          <w:spacing w:val="-4"/>
        </w:rPr>
        <w:t xml:space="preserve"> </w:t>
      </w:r>
      <w:r>
        <w:t>the</w:t>
      </w:r>
      <w:r>
        <w:rPr>
          <w:spacing w:val="-4"/>
        </w:rPr>
        <w:t xml:space="preserve"> </w:t>
      </w:r>
      <w:r>
        <w:t>gain</w:t>
      </w:r>
      <w:r>
        <w:rPr>
          <w:spacing w:val="-7"/>
        </w:rPr>
        <w:t xml:space="preserve"> </w:t>
      </w:r>
      <w:r>
        <w:t>will</w:t>
      </w:r>
      <w:r>
        <w:rPr>
          <w:spacing w:val="-1"/>
        </w:rPr>
        <w:t xml:space="preserve"> </w:t>
      </w:r>
      <w:r>
        <w:t xml:space="preserve">remain in </w:t>
      </w:r>
      <w:r>
        <w:rPr>
          <w:spacing w:val="-3"/>
        </w:rPr>
        <w:t xml:space="preserve">your </w:t>
      </w:r>
      <w:r>
        <w:t xml:space="preserve">account unless the same error involved other client account(s) that should have received </w:t>
      </w:r>
      <w:r>
        <w:rPr>
          <w:spacing w:val="-3"/>
        </w:rPr>
        <w:t xml:space="preserve">the </w:t>
      </w:r>
      <w:r>
        <w:t xml:space="preserve">gain, it is not permissible for you to retain the gain, or we confer with you and you decide to forego the gain (e.g., for tax reasons). If the gain does not remain in your account and </w:t>
      </w:r>
      <w:r>
        <w:rPr>
          <w:spacing w:val="-4"/>
        </w:rPr>
        <w:t xml:space="preserve">Schwab </w:t>
      </w:r>
      <w:r>
        <w:t>is the custodian, Schwab will donate the amount of any gain $100 and over</w:t>
      </w:r>
      <w:r>
        <w:rPr>
          <w:spacing w:val="9"/>
        </w:rPr>
        <w:t xml:space="preserve"> </w:t>
      </w:r>
      <w:r>
        <w:t>to</w:t>
      </w:r>
      <w:r>
        <w:rPr>
          <w:spacing w:val="11"/>
        </w:rPr>
        <w:t xml:space="preserve"> </w:t>
      </w:r>
      <w:r>
        <w:t>charity.</w:t>
      </w:r>
      <w:r>
        <w:rPr>
          <w:spacing w:val="8"/>
        </w:rPr>
        <w:t xml:space="preserve"> </w:t>
      </w:r>
      <w:r>
        <w:t>If</w:t>
      </w:r>
      <w:r>
        <w:rPr>
          <w:spacing w:val="13"/>
        </w:rPr>
        <w:t xml:space="preserve"> </w:t>
      </w:r>
      <w:r>
        <w:t>a</w:t>
      </w:r>
      <w:r>
        <w:rPr>
          <w:spacing w:val="6"/>
        </w:rPr>
        <w:t xml:space="preserve"> </w:t>
      </w:r>
      <w:r>
        <w:t>loss</w:t>
      </w:r>
      <w:r>
        <w:rPr>
          <w:spacing w:val="11"/>
        </w:rPr>
        <w:t xml:space="preserve"> </w:t>
      </w:r>
      <w:r>
        <w:t>occurs</w:t>
      </w:r>
      <w:r>
        <w:rPr>
          <w:spacing w:val="8"/>
        </w:rPr>
        <w:t xml:space="preserve"> </w:t>
      </w:r>
      <w:r>
        <w:t>greater</w:t>
      </w:r>
      <w:r>
        <w:rPr>
          <w:spacing w:val="7"/>
        </w:rPr>
        <w:t xml:space="preserve"> </w:t>
      </w:r>
      <w:r>
        <w:t>than</w:t>
      </w:r>
      <w:r>
        <w:rPr>
          <w:spacing w:val="4"/>
        </w:rPr>
        <w:t xml:space="preserve"> </w:t>
      </w:r>
      <w:r>
        <w:t>$100,</w:t>
      </w:r>
      <w:r>
        <w:rPr>
          <w:spacing w:val="4"/>
        </w:rPr>
        <w:t xml:space="preserve"> </w:t>
      </w:r>
      <w:r>
        <w:t>the</w:t>
      </w:r>
      <w:r>
        <w:rPr>
          <w:spacing w:val="3"/>
        </w:rPr>
        <w:t xml:space="preserve"> </w:t>
      </w:r>
      <w:r>
        <w:t>Adviser</w:t>
      </w:r>
      <w:r>
        <w:rPr>
          <w:spacing w:val="7"/>
        </w:rPr>
        <w:t xml:space="preserve"> </w:t>
      </w:r>
      <w:r>
        <w:t>will</w:t>
      </w:r>
      <w:r>
        <w:rPr>
          <w:spacing w:val="7"/>
        </w:rPr>
        <w:t xml:space="preserve"> </w:t>
      </w:r>
      <w:r>
        <w:t>pay</w:t>
      </w:r>
      <w:r>
        <w:rPr>
          <w:spacing w:val="3"/>
        </w:rPr>
        <w:t xml:space="preserve"> </w:t>
      </w:r>
      <w:r>
        <w:t>for</w:t>
      </w:r>
      <w:r>
        <w:rPr>
          <w:spacing w:val="6"/>
        </w:rPr>
        <w:t xml:space="preserve"> </w:t>
      </w:r>
      <w:r>
        <w:t>the</w:t>
      </w:r>
      <w:r>
        <w:rPr>
          <w:spacing w:val="3"/>
        </w:rPr>
        <w:t xml:space="preserve"> </w:t>
      </w:r>
      <w:r>
        <w:t>loss.</w:t>
      </w:r>
      <w:r>
        <w:rPr>
          <w:spacing w:val="4"/>
        </w:rPr>
        <w:t xml:space="preserve"> </w:t>
      </w:r>
      <w:r>
        <w:t>Schwab</w:t>
      </w:r>
    </w:p>
    <w:p w14:paraId="3BC785B6" w14:textId="77777777" w:rsidR="00207CBB" w:rsidRDefault="00207CBB">
      <w:pPr>
        <w:sectPr w:rsidR="00207CBB">
          <w:footerReference w:type="default" r:id="rId12"/>
          <w:footerReference w:type="first" r:id="rId13"/>
          <w:pgSz w:w="12240" w:h="15840"/>
          <w:pgMar w:top="1320" w:right="1080" w:bottom="880" w:left="1224" w:header="720" w:footer="720" w:gutter="0"/>
          <w:pgNumType w:start="1"/>
          <w:cols w:space="720"/>
          <w:titlePg/>
          <w:docGrid w:linePitch="299"/>
        </w:sectPr>
      </w:pPr>
    </w:p>
    <w:p w14:paraId="70616869" w14:textId="77777777" w:rsidR="00207CBB" w:rsidRDefault="007729F9">
      <w:pPr>
        <w:pStyle w:val="BodyText"/>
        <w:spacing w:before="41"/>
        <w:ind w:left="234" w:right="354"/>
      </w:pPr>
      <w:r>
        <w:t>will retain the loss or gain (if such gain is not retained in your account) if it is under $100</w:t>
      </w:r>
      <w:r>
        <w:rPr>
          <w:spacing w:val="-36"/>
        </w:rPr>
        <w:t xml:space="preserve"> </w:t>
      </w:r>
      <w:r>
        <w:rPr>
          <w:spacing w:val="-3"/>
        </w:rPr>
        <w:t xml:space="preserve">to </w:t>
      </w:r>
      <w:r>
        <w:t>minimize</w:t>
      </w:r>
      <w:r>
        <w:rPr>
          <w:spacing w:val="-15"/>
        </w:rPr>
        <w:t xml:space="preserve"> </w:t>
      </w:r>
      <w:r>
        <w:t>and</w:t>
      </w:r>
      <w:r>
        <w:rPr>
          <w:spacing w:val="-11"/>
        </w:rPr>
        <w:t xml:space="preserve"> </w:t>
      </w:r>
      <w:r>
        <w:t>offset</w:t>
      </w:r>
      <w:r>
        <w:rPr>
          <w:spacing w:val="-9"/>
        </w:rPr>
        <w:t xml:space="preserve"> </w:t>
      </w:r>
      <w:r>
        <w:rPr>
          <w:spacing w:val="-4"/>
        </w:rPr>
        <w:t>its</w:t>
      </w:r>
      <w:r>
        <w:rPr>
          <w:spacing w:val="-19"/>
        </w:rPr>
        <w:t xml:space="preserve"> </w:t>
      </w:r>
      <w:r>
        <w:t>administrative</w:t>
      </w:r>
      <w:r>
        <w:rPr>
          <w:spacing w:val="-14"/>
        </w:rPr>
        <w:t xml:space="preserve"> </w:t>
      </w:r>
      <w:r>
        <w:t>time</w:t>
      </w:r>
      <w:r>
        <w:rPr>
          <w:spacing w:val="-10"/>
        </w:rPr>
        <w:t xml:space="preserve"> </w:t>
      </w:r>
      <w:r>
        <w:t>and</w:t>
      </w:r>
      <w:r>
        <w:rPr>
          <w:spacing w:val="-11"/>
        </w:rPr>
        <w:t xml:space="preserve"> </w:t>
      </w:r>
      <w:r>
        <w:t>expense.</w:t>
      </w:r>
      <w:r>
        <w:rPr>
          <w:spacing w:val="-13"/>
        </w:rPr>
        <w:t xml:space="preserve"> </w:t>
      </w:r>
      <w:r>
        <w:t>If</w:t>
      </w:r>
      <w:r>
        <w:rPr>
          <w:spacing w:val="-9"/>
        </w:rPr>
        <w:t xml:space="preserve"> </w:t>
      </w:r>
      <w:r>
        <w:t>related</w:t>
      </w:r>
      <w:r>
        <w:rPr>
          <w:spacing w:val="-11"/>
        </w:rPr>
        <w:t xml:space="preserve"> </w:t>
      </w:r>
      <w:r>
        <w:t>trade</w:t>
      </w:r>
      <w:r>
        <w:rPr>
          <w:spacing w:val="-10"/>
        </w:rPr>
        <w:t xml:space="preserve"> </w:t>
      </w:r>
      <w:r>
        <w:t>errors</w:t>
      </w:r>
      <w:r>
        <w:rPr>
          <w:spacing w:val="-14"/>
        </w:rPr>
        <w:t xml:space="preserve"> </w:t>
      </w:r>
      <w:r>
        <w:t>result</w:t>
      </w:r>
      <w:r>
        <w:rPr>
          <w:spacing w:val="-12"/>
        </w:rPr>
        <w:t xml:space="preserve"> </w:t>
      </w:r>
      <w:r>
        <w:t>in</w:t>
      </w:r>
      <w:r>
        <w:rPr>
          <w:spacing w:val="-11"/>
        </w:rPr>
        <w:t xml:space="preserve"> </w:t>
      </w:r>
      <w:r>
        <w:t>both gains and losses in your account, they will be</w:t>
      </w:r>
      <w:r>
        <w:rPr>
          <w:spacing w:val="-10"/>
        </w:rPr>
        <w:t xml:space="preserve"> </w:t>
      </w:r>
      <w:r>
        <w:t>netted.</w:t>
      </w:r>
    </w:p>
    <w:p w14:paraId="63EF876B" w14:textId="77777777" w:rsidR="00207CBB" w:rsidRDefault="00207CBB">
      <w:pPr>
        <w:pStyle w:val="BodyText"/>
        <w:spacing w:before="3"/>
      </w:pPr>
    </w:p>
    <w:p w14:paraId="772AF6B3" w14:textId="77777777" w:rsidR="00207CBB" w:rsidRDefault="007729F9">
      <w:pPr>
        <w:pStyle w:val="BodyText"/>
        <w:ind w:firstLine="210"/>
        <w:rPr>
          <w:b/>
          <w:u w:val="single"/>
        </w:rPr>
      </w:pPr>
      <w:r>
        <w:rPr>
          <w:b/>
          <w:u w:val="single"/>
        </w:rPr>
        <w:lastRenderedPageBreak/>
        <w:t>Aggregate Trading</w:t>
      </w:r>
    </w:p>
    <w:p w14:paraId="46472145" w14:textId="77777777" w:rsidR="00207CBB" w:rsidRDefault="00207CBB">
      <w:pPr>
        <w:pStyle w:val="BodyText"/>
        <w:spacing w:before="10"/>
        <w:rPr>
          <w:b/>
          <w:sz w:val="23"/>
        </w:rPr>
      </w:pPr>
    </w:p>
    <w:p w14:paraId="31D431CE" w14:textId="77777777" w:rsidR="00207CBB" w:rsidRDefault="007729F9">
      <w:pPr>
        <w:pStyle w:val="BodyText"/>
        <w:spacing w:before="1"/>
        <w:ind w:left="210" w:right="361"/>
      </w:pPr>
      <w:r>
        <w:t>In order to seek best execution for clients, the Adviser can aggregate contemporaneous buy and sell orders for the accounts over which it has discretionary authority. This practice of bunching</w:t>
      </w:r>
      <w:r>
        <w:rPr>
          <w:spacing w:val="-6"/>
        </w:rPr>
        <w:t xml:space="preserve"> </w:t>
      </w:r>
      <w:r>
        <w:t>trades</w:t>
      </w:r>
      <w:r>
        <w:rPr>
          <w:spacing w:val="-10"/>
        </w:rPr>
        <w:t xml:space="preserve"> </w:t>
      </w:r>
      <w:r>
        <w:t>can</w:t>
      </w:r>
      <w:r>
        <w:rPr>
          <w:spacing w:val="-7"/>
        </w:rPr>
        <w:t xml:space="preserve"> </w:t>
      </w:r>
      <w:r>
        <w:t>enable</w:t>
      </w:r>
      <w:r>
        <w:rPr>
          <w:spacing w:val="-9"/>
        </w:rPr>
        <w:t xml:space="preserve"> </w:t>
      </w:r>
      <w:r>
        <w:t>the</w:t>
      </w:r>
      <w:r>
        <w:rPr>
          <w:spacing w:val="-9"/>
        </w:rPr>
        <w:t xml:space="preserve"> </w:t>
      </w:r>
      <w:r>
        <w:t>Adviser</w:t>
      </w:r>
      <w:r>
        <w:rPr>
          <w:spacing w:val="-6"/>
        </w:rPr>
        <w:t xml:space="preserve"> </w:t>
      </w:r>
      <w:r>
        <w:t>to</w:t>
      </w:r>
      <w:r>
        <w:rPr>
          <w:spacing w:val="-5"/>
        </w:rPr>
        <w:t xml:space="preserve"> </w:t>
      </w:r>
      <w:r>
        <w:t>obtain</w:t>
      </w:r>
      <w:r>
        <w:rPr>
          <w:spacing w:val="-7"/>
        </w:rPr>
        <w:t xml:space="preserve"> </w:t>
      </w:r>
      <w:r>
        <w:t>more</w:t>
      </w:r>
      <w:r>
        <w:rPr>
          <w:spacing w:val="-9"/>
        </w:rPr>
        <w:t xml:space="preserve"> </w:t>
      </w:r>
      <w:r>
        <w:t>favorable</w:t>
      </w:r>
      <w:r>
        <w:rPr>
          <w:spacing w:val="-9"/>
        </w:rPr>
        <w:t xml:space="preserve"> </w:t>
      </w:r>
      <w:r>
        <w:t>execution,</w:t>
      </w:r>
      <w:r>
        <w:rPr>
          <w:spacing w:val="-7"/>
        </w:rPr>
        <w:t xml:space="preserve"> </w:t>
      </w:r>
      <w:r>
        <w:t>including</w:t>
      </w:r>
      <w:r>
        <w:rPr>
          <w:spacing w:val="-6"/>
        </w:rPr>
        <w:t xml:space="preserve"> </w:t>
      </w:r>
      <w:r>
        <w:t>better pricing</w:t>
      </w:r>
      <w:r>
        <w:rPr>
          <w:spacing w:val="-8"/>
        </w:rPr>
        <w:t xml:space="preserve"> </w:t>
      </w:r>
      <w:r>
        <w:t>and</w:t>
      </w:r>
      <w:r>
        <w:rPr>
          <w:spacing w:val="-7"/>
        </w:rPr>
        <w:t xml:space="preserve"> </w:t>
      </w:r>
      <w:r>
        <w:t>enhanced</w:t>
      </w:r>
      <w:r>
        <w:rPr>
          <w:spacing w:val="-7"/>
        </w:rPr>
        <w:t xml:space="preserve"> </w:t>
      </w:r>
      <w:r>
        <w:t>investment</w:t>
      </w:r>
      <w:r>
        <w:rPr>
          <w:spacing w:val="-8"/>
        </w:rPr>
        <w:t xml:space="preserve"> </w:t>
      </w:r>
      <w:r>
        <w:t>opportunities,</w:t>
      </w:r>
      <w:r>
        <w:rPr>
          <w:spacing w:val="-5"/>
        </w:rPr>
        <w:t xml:space="preserve"> </w:t>
      </w:r>
      <w:r>
        <w:t>than</w:t>
      </w:r>
      <w:r>
        <w:rPr>
          <w:spacing w:val="-8"/>
        </w:rPr>
        <w:t xml:space="preserve"> </w:t>
      </w:r>
      <w:r>
        <w:t>would</w:t>
      </w:r>
      <w:r>
        <w:rPr>
          <w:spacing w:val="-7"/>
        </w:rPr>
        <w:t xml:space="preserve"> </w:t>
      </w:r>
      <w:r>
        <w:t>otherwise</w:t>
      </w:r>
      <w:r>
        <w:rPr>
          <w:spacing w:val="-10"/>
        </w:rPr>
        <w:t xml:space="preserve"> </w:t>
      </w:r>
      <w:r>
        <w:t>be</w:t>
      </w:r>
      <w:r>
        <w:rPr>
          <w:spacing w:val="-10"/>
        </w:rPr>
        <w:t xml:space="preserve"> </w:t>
      </w:r>
      <w:r>
        <w:t>available</w:t>
      </w:r>
      <w:r>
        <w:rPr>
          <w:spacing w:val="-10"/>
        </w:rPr>
        <w:t xml:space="preserve"> </w:t>
      </w:r>
      <w:r>
        <w:t>if</w:t>
      </w:r>
      <w:r>
        <w:rPr>
          <w:spacing w:val="-9"/>
        </w:rPr>
        <w:t xml:space="preserve"> </w:t>
      </w:r>
      <w:r>
        <w:rPr>
          <w:spacing w:val="2"/>
        </w:rPr>
        <w:t xml:space="preserve">orders </w:t>
      </w:r>
      <w:r>
        <w:t>were not aggregated. Bunching transactions can also assist the Adviser in potentially avoiding an adverse effect on the price of a security that could result from simultaneously placing a number of separate, successive or competing client</w:t>
      </w:r>
      <w:r>
        <w:rPr>
          <w:spacing w:val="-9"/>
        </w:rPr>
        <w:t xml:space="preserve"> </w:t>
      </w:r>
      <w:r>
        <w:t>orders.</w:t>
      </w:r>
    </w:p>
    <w:p w14:paraId="3487683B" w14:textId="77777777" w:rsidR="00207CBB" w:rsidRDefault="007729F9">
      <w:pPr>
        <w:pStyle w:val="BodyText"/>
        <w:ind w:left="210" w:right="367"/>
      </w:pPr>
      <w:r>
        <w:t xml:space="preserve">It is within the Adviser’s sole discretion to bunch transactions and its decision is subject to its duty to seek best execution. The Adviser will aggregate a client’s trade orders only when </w:t>
      </w:r>
    </w:p>
    <w:p w14:paraId="49B66258" w14:textId="77777777" w:rsidR="00207CBB" w:rsidRDefault="00207CBB">
      <w:pPr>
        <w:rPr>
          <w:sz w:val="24"/>
          <w:szCs w:val="24"/>
        </w:rPr>
      </w:pPr>
    </w:p>
    <w:p w14:paraId="74E7ABAC" w14:textId="77777777" w:rsidR="00207CBB" w:rsidRDefault="007729F9">
      <w:pPr>
        <w:pStyle w:val="BodyText"/>
        <w:ind w:left="210" w:right="367"/>
        <w:rPr>
          <w:sz w:val="23"/>
        </w:rPr>
      </w:pPr>
      <w:r>
        <w:t>the Adviser deems it to be appropriate and in the best interests of the client and permitted by regulatory requirements.</w:t>
      </w:r>
    </w:p>
    <w:p w14:paraId="76B1E04A" w14:textId="77777777" w:rsidR="00207CBB" w:rsidRDefault="00207CBB">
      <w:pPr>
        <w:pStyle w:val="BodyText"/>
        <w:ind w:left="210" w:right="367"/>
        <w:rPr>
          <w:sz w:val="23"/>
        </w:rPr>
      </w:pPr>
    </w:p>
    <w:p w14:paraId="20F66BFF" w14:textId="77777777" w:rsidR="00207CBB" w:rsidRDefault="007729F9">
      <w:pPr>
        <w:pStyle w:val="BodyText"/>
        <w:ind w:left="210" w:right="367"/>
        <w:rPr>
          <w:sz w:val="23"/>
        </w:rPr>
      </w:pPr>
      <w:r>
        <w:t>All advisory clients participating in a bunched transaction will receive the same execution price for the security bought or sold. Average prices could be used when allocating purchases and sales to a client’s accounts because such securities could be purchased and sold at different prices in a series of bunched transactions. As a result, the average price received by a client could be higher or lower than the price the client could have received had</w:t>
      </w:r>
      <w:r>
        <w:rPr>
          <w:spacing w:val="-10"/>
        </w:rPr>
        <w:t xml:space="preserve"> </w:t>
      </w:r>
      <w:r>
        <w:t>the</w:t>
      </w:r>
      <w:r>
        <w:rPr>
          <w:spacing w:val="-13"/>
        </w:rPr>
        <w:t xml:space="preserve"> </w:t>
      </w:r>
      <w:r>
        <w:t>transaction</w:t>
      </w:r>
      <w:r>
        <w:rPr>
          <w:spacing w:val="-12"/>
        </w:rPr>
        <w:t xml:space="preserve"> </w:t>
      </w:r>
      <w:r>
        <w:t>been</w:t>
      </w:r>
      <w:r>
        <w:rPr>
          <w:spacing w:val="-7"/>
        </w:rPr>
        <w:t xml:space="preserve"> </w:t>
      </w:r>
      <w:r>
        <w:t>effected</w:t>
      </w:r>
      <w:r>
        <w:rPr>
          <w:spacing w:val="-10"/>
        </w:rPr>
        <w:t xml:space="preserve"> </w:t>
      </w:r>
      <w:r>
        <w:t>for</w:t>
      </w:r>
      <w:r>
        <w:rPr>
          <w:spacing w:val="-11"/>
        </w:rPr>
        <w:t xml:space="preserve"> </w:t>
      </w:r>
      <w:r>
        <w:t>the</w:t>
      </w:r>
      <w:r>
        <w:rPr>
          <w:spacing w:val="-13"/>
        </w:rPr>
        <w:t xml:space="preserve"> </w:t>
      </w:r>
      <w:r>
        <w:t>client</w:t>
      </w:r>
      <w:r>
        <w:rPr>
          <w:spacing w:val="-11"/>
        </w:rPr>
        <w:t xml:space="preserve"> </w:t>
      </w:r>
      <w:r>
        <w:t>independently</w:t>
      </w:r>
      <w:r>
        <w:rPr>
          <w:spacing w:val="-12"/>
        </w:rPr>
        <w:t xml:space="preserve"> </w:t>
      </w:r>
      <w:r>
        <w:t>from</w:t>
      </w:r>
      <w:r>
        <w:rPr>
          <w:spacing w:val="-10"/>
        </w:rPr>
        <w:t xml:space="preserve"> </w:t>
      </w:r>
      <w:r>
        <w:t>the</w:t>
      </w:r>
      <w:r>
        <w:rPr>
          <w:spacing w:val="-13"/>
        </w:rPr>
        <w:t xml:space="preserve"> </w:t>
      </w:r>
      <w:r>
        <w:t>bunched</w:t>
      </w:r>
      <w:r>
        <w:rPr>
          <w:spacing w:val="-11"/>
        </w:rPr>
        <w:t xml:space="preserve"> </w:t>
      </w:r>
      <w:r>
        <w:t>transaction. In addition, a client’s transaction costs can vary depending upon, among other things, the type</w:t>
      </w:r>
      <w:r>
        <w:rPr>
          <w:spacing w:val="-9"/>
        </w:rPr>
        <w:t xml:space="preserve"> </w:t>
      </w:r>
      <w:r>
        <w:t>of</w:t>
      </w:r>
      <w:r>
        <w:rPr>
          <w:spacing w:val="-7"/>
        </w:rPr>
        <w:t xml:space="preserve"> </w:t>
      </w:r>
      <w:r>
        <w:t>security</w:t>
      </w:r>
      <w:r>
        <w:rPr>
          <w:spacing w:val="-7"/>
        </w:rPr>
        <w:t xml:space="preserve"> </w:t>
      </w:r>
      <w:r>
        <w:t>bought</w:t>
      </w:r>
      <w:r>
        <w:rPr>
          <w:spacing w:val="-11"/>
        </w:rPr>
        <w:t xml:space="preserve"> </w:t>
      </w:r>
      <w:r>
        <w:t>or</w:t>
      </w:r>
      <w:r>
        <w:rPr>
          <w:spacing w:val="-5"/>
        </w:rPr>
        <w:t xml:space="preserve"> </w:t>
      </w:r>
      <w:r>
        <w:t>sold,</w:t>
      </w:r>
      <w:r>
        <w:rPr>
          <w:spacing w:val="-8"/>
        </w:rPr>
        <w:t xml:space="preserve"> </w:t>
      </w:r>
      <w:r>
        <w:t>and</w:t>
      </w:r>
      <w:r>
        <w:rPr>
          <w:spacing w:val="-5"/>
        </w:rPr>
        <w:t xml:space="preserve"> </w:t>
      </w:r>
      <w:r>
        <w:t>the</w:t>
      </w:r>
      <w:r>
        <w:rPr>
          <w:spacing w:val="-9"/>
        </w:rPr>
        <w:t xml:space="preserve"> </w:t>
      </w:r>
      <w:r>
        <w:t>commission</w:t>
      </w:r>
      <w:r>
        <w:rPr>
          <w:spacing w:val="-6"/>
        </w:rPr>
        <w:t xml:space="preserve"> </w:t>
      </w:r>
      <w:r>
        <w:t>or</w:t>
      </w:r>
      <w:r>
        <w:rPr>
          <w:spacing w:val="-5"/>
        </w:rPr>
        <w:t xml:space="preserve"> </w:t>
      </w:r>
      <w:r>
        <w:t>markup</w:t>
      </w:r>
      <w:r>
        <w:rPr>
          <w:spacing w:val="-10"/>
        </w:rPr>
        <w:t xml:space="preserve"> </w:t>
      </w:r>
      <w:r>
        <w:t>or</w:t>
      </w:r>
      <w:r>
        <w:rPr>
          <w:spacing w:val="-10"/>
        </w:rPr>
        <w:t xml:space="preserve"> </w:t>
      </w:r>
      <w:r>
        <w:t>markdown</w:t>
      </w:r>
      <w:r>
        <w:rPr>
          <w:spacing w:val="-6"/>
        </w:rPr>
        <w:t xml:space="preserve"> </w:t>
      </w:r>
      <w:r>
        <w:t>charged</w:t>
      </w:r>
      <w:r>
        <w:rPr>
          <w:spacing w:val="-5"/>
        </w:rPr>
        <w:t xml:space="preserve"> </w:t>
      </w:r>
      <w:r>
        <w:t>by</w:t>
      </w:r>
      <w:r>
        <w:rPr>
          <w:spacing w:val="-8"/>
        </w:rPr>
        <w:t xml:space="preserve"> </w:t>
      </w:r>
      <w:r>
        <w:t>the executing broker-dealer.</w:t>
      </w:r>
    </w:p>
    <w:p w14:paraId="2899EBE2" w14:textId="77777777" w:rsidR="00207CBB" w:rsidRDefault="00207CBB">
      <w:pPr>
        <w:pStyle w:val="BodyText"/>
      </w:pPr>
    </w:p>
    <w:p w14:paraId="33FAF333" w14:textId="77777777" w:rsidR="00207CBB" w:rsidRDefault="007729F9">
      <w:pPr>
        <w:pStyle w:val="BodyText"/>
        <w:ind w:left="210" w:right="364"/>
      </w:pPr>
      <w:r>
        <w:t>The amount of securities available in the marketplace, at a particular price at a particular time, might not satisfy the needs of all clients participating in a bunched transaction and could be insufficient to provide full allocation across all client accounts. To address this possibility, the Adviser has adopted trade allocation policies and procedures that are designed to make securities allocations to discretionary client accounts in a manner such that all such clients receive fair and equitable treatment. If a bunched transaction cannot be executed in full at the same price or time, the securities actually purchased or sold by the close</w:t>
      </w:r>
      <w:r>
        <w:rPr>
          <w:spacing w:val="-14"/>
        </w:rPr>
        <w:t xml:space="preserve"> </w:t>
      </w:r>
      <w:r>
        <w:t>of</w:t>
      </w:r>
      <w:r>
        <w:rPr>
          <w:spacing w:val="-13"/>
        </w:rPr>
        <w:t xml:space="preserve"> </w:t>
      </w:r>
      <w:r>
        <w:t>each</w:t>
      </w:r>
      <w:r>
        <w:rPr>
          <w:spacing w:val="-11"/>
        </w:rPr>
        <w:t xml:space="preserve"> </w:t>
      </w:r>
      <w:r>
        <w:t>business</w:t>
      </w:r>
      <w:r>
        <w:rPr>
          <w:spacing w:val="-14"/>
        </w:rPr>
        <w:t xml:space="preserve"> </w:t>
      </w:r>
      <w:r>
        <w:t>day</w:t>
      </w:r>
      <w:r>
        <w:rPr>
          <w:spacing w:val="-13"/>
        </w:rPr>
        <w:t xml:space="preserve"> </w:t>
      </w:r>
      <w:r>
        <w:t>will</w:t>
      </w:r>
      <w:r>
        <w:rPr>
          <w:spacing w:val="-10"/>
        </w:rPr>
        <w:t xml:space="preserve"> </w:t>
      </w:r>
      <w:r>
        <w:t>generally</w:t>
      </w:r>
      <w:r>
        <w:rPr>
          <w:spacing w:val="-13"/>
        </w:rPr>
        <w:t xml:space="preserve"> </w:t>
      </w:r>
      <w:r>
        <w:t>be</w:t>
      </w:r>
      <w:r>
        <w:rPr>
          <w:spacing w:val="-14"/>
        </w:rPr>
        <w:t xml:space="preserve"> </w:t>
      </w:r>
      <w:r>
        <w:t>allocated</w:t>
      </w:r>
      <w:r>
        <w:rPr>
          <w:spacing w:val="-11"/>
        </w:rPr>
        <w:t xml:space="preserve"> </w:t>
      </w:r>
      <w:r>
        <w:t>pro</w:t>
      </w:r>
      <w:r>
        <w:rPr>
          <w:spacing w:val="-10"/>
        </w:rPr>
        <w:t xml:space="preserve"> </w:t>
      </w:r>
      <w:r>
        <w:t>rata</w:t>
      </w:r>
      <w:r>
        <w:rPr>
          <w:spacing w:val="-14"/>
        </w:rPr>
        <w:t xml:space="preserve"> </w:t>
      </w:r>
      <w:r>
        <w:t>among</w:t>
      </w:r>
      <w:r>
        <w:rPr>
          <w:spacing w:val="-15"/>
        </w:rPr>
        <w:t xml:space="preserve"> </w:t>
      </w:r>
      <w:r>
        <w:t>the</w:t>
      </w:r>
      <w:r>
        <w:rPr>
          <w:spacing w:val="-14"/>
        </w:rPr>
        <w:t xml:space="preserve"> </w:t>
      </w:r>
      <w:r>
        <w:t>clients</w:t>
      </w:r>
      <w:r>
        <w:rPr>
          <w:spacing w:val="-14"/>
        </w:rPr>
        <w:t xml:space="preserve"> </w:t>
      </w:r>
      <w:r>
        <w:t xml:space="preserve">participating in the bunched transaction. Adjustments to this pro rata allocation can be made, at the </w:t>
      </w:r>
      <w:proofErr w:type="spellStart"/>
      <w:r>
        <w:t>iscretion</w:t>
      </w:r>
      <w:proofErr w:type="spellEnd"/>
      <w:r>
        <w:rPr>
          <w:spacing w:val="-9"/>
        </w:rPr>
        <w:t xml:space="preserve"> </w:t>
      </w:r>
      <w:r>
        <w:t>of</w:t>
      </w:r>
      <w:r>
        <w:rPr>
          <w:spacing w:val="-10"/>
        </w:rPr>
        <w:t xml:space="preserve"> </w:t>
      </w:r>
      <w:r>
        <w:t>the</w:t>
      </w:r>
      <w:r>
        <w:rPr>
          <w:spacing w:val="-10"/>
        </w:rPr>
        <w:t xml:space="preserve"> </w:t>
      </w:r>
      <w:r>
        <w:t>Adviser,</w:t>
      </w:r>
      <w:r>
        <w:rPr>
          <w:spacing w:val="-11"/>
        </w:rPr>
        <w:t xml:space="preserve"> </w:t>
      </w:r>
      <w:r>
        <w:t>to</w:t>
      </w:r>
      <w:r>
        <w:rPr>
          <w:spacing w:val="-6"/>
        </w:rPr>
        <w:t xml:space="preserve"> </w:t>
      </w:r>
      <w:r>
        <w:t>take</w:t>
      </w:r>
      <w:r>
        <w:rPr>
          <w:spacing w:val="-11"/>
        </w:rPr>
        <w:t xml:space="preserve"> </w:t>
      </w:r>
      <w:r>
        <w:t>into</w:t>
      </w:r>
      <w:r>
        <w:rPr>
          <w:spacing w:val="-7"/>
        </w:rPr>
        <w:t xml:space="preserve"> </w:t>
      </w:r>
      <w:r>
        <w:t>consideration</w:t>
      </w:r>
      <w:r>
        <w:rPr>
          <w:spacing w:val="-8"/>
        </w:rPr>
        <w:t xml:space="preserve"> </w:t>
      </w:r>
      <w:r>
        <w:t>account</w:t>
      </w:r>
      <w:r>
        <w:rPr>
          <w:spacing w:val="-13"/>
        </w:rPr>
        <w:t xml:space="preserve"> </w:t>
      </w:r>
      <w:r>
        <w:t>specific</w:t>
      </w:r>
      <w:r>
        <w:rPr>
          <w:spacing w:val="-9"/>
        </w:rPr>
        <w:t xml:space="preserve"> </w:t>
      </w:r>
      <w:r>
        <w:t>investment</w:t>
      </w:r>
      <w:r>
        <w:rPr>
          <w:spacing w:val="-9"/>
        </w:rPr>
        <w:t xml:space="preserve"> </w:t>
      </w:r>
      <w:r>
        <w:t>restrictions, undesirable</w:t>
      </w:r>
      <w:r>
        <w:rPr>
          <w:spacing w:val="-16"/>
        </w:rPr>
        <w:t xml:space="preserve"> </w:t>
      </w:r>
      <w:r>
        <w:t>position</w:t>
      </w:r>
      <w:r>
        <w:rPr>
          <w:spacing w:val="-14"/>
        </w:rPr>
        <w:t xml:space="preserve"> </w:t>
      </w:r>
      <w:r>
        <w:t>size,</w:t>
      </w:r>
      <w:r>
        <w:rPr>
          <w:spacing w:val="-15"/>
        </w:rPr>
        <w:t xml:space="preserve"> </w:t>
      </w:r>
      <w:r>
        <w:t>account</w:t>
      </w:r>
      <w:r>
        <w:rPr>
          <w:spacing w:val="-17"/>
        </w:rPr>
        <w:t xml:space="preserve"> </w:t>
      </w:r>
      <w:r>
        <w:t>portfolio</w:t>
      </w:r>
      <w:r>
        <w:rPr>
          <w:spacing w:val="-16"/>
        </w:rPr>
        <w:t xml:space="preserve"> </w:t>
      </w:r>
      <w:r>
        <w:t>weightings,</w:t>
      </w:r>
      <w:r>
        <w:rPr>
          <w:spacing w:val="-14"/>
        </w:rPr>
        <w:t xml:space="preserve"> </w:t>
      </w:r>
      <w:r>
        <w:t>client</w:t>
      </w:r>
      <w:r>
        <w:rPr>
          <w:spacing w:val="-13"/>
        </w:rPr>
        <w:t xml:space="preserve"> </w:t>
      </w:r>
      <w:r>
        <w:t>tax</w:t>
      </w:r>
      <w:r>
        <w:rPr>
          <w:spacing w:val="-15"/>
        </w:rPr>
        <w:t xml:space="preserve"> </w:t>
      </w:r>
      <w:r>
        <w:t>status,</w:t>
      </w:r>
      <w:r>
        <w:rPr>
          <w:spacing w:val="-15"/>
        </w:rPr>
        <w:t xml:space="preserve"> </w:t>
      </w:r>
      <w:r>
        <w:t>client</w:t>
      </w:r>
      <w:r>
        <w:rPr>
          <w:spacing w:val="-13"/>
        </w:rPr>
        <w:t xml:space="preserve"> </w:t>
      </w:r>
      <w:r>
        <w:t>cash</w:t>
      </w:r>
      <w:r>
        <w:rPr>
          <w:spacing w:val="-12"/>
        </w:rPr>
        <w:t xml:space="preserve"> </w:t>
      </w:r>
      <w:r>
        <w:t xml:space="preserve">positions and client preferences. Adjustments can also be made to avoid a nominal allocation </w:t>
      </w:r>
      <w:r>
        <w:rPr>
          <w:spacing w:val="-3"/>
        </w:rPr>
        <w:t xml:space="preserve">to </w:t>
      </w:r>
      <w:r>
        <w:t>client accounts.</w:t>
      </w:r>
    </w:p>
    <w:p w14:paraId="3D50CAE9" w14:textId="77777777" w:rsidR="00207CBB" w:rsidRDefault="00207CBB">
      <w:pPr>
        <w:pStyle w:val="BodyText"/>
        <w:spacing w:before="3"/>
      </w:pPr>
    </w:p>
    <w:p w14:paraId="5F852F40" w14:textId="77777777" w:rsidR="00207CBB" w:rsidRDefault="007729F9">
      <w:pPr>
        <w:pStyle w:val="BodyText"/>
        <w:ind w:left="210" w:right="339"/>
      </w:pPr>
      <w:r>
        <w:t>Aggregated</w:t>
      </w:r>
      <w:r>
        <w:rPr>
          <w:spacing w:val="-3"/>
        </w:rPr>
        <w:t xml:space="preserve"> </w:t>
      </w:r>
      <w:r>
        <w:t>orders</w:t>
      </w:r>
      <w:r>
        <w:rPr>
          <w:spacing w:val="-6"/>
        </w:rPr>
        <w:t xml:space="preserve"> </w:t>
      </w:r>
      <w:r>
        <w:t>can</w:t>
      </w:r>
      <w:r>
        <w:rPr>
          <w:spacing w:val="-4"/>
        </w:rPr>
        <w:t xml:space="preserve"> </w:t>
      </w:r>
      <w:r>
        <w:t>include</w:t>
      </w:r>
      <w:r>
        <w:rPr>
          <w:spacing w:val="-4"/>
        </w:rPr>
        <w:t xml:space="preserve"> </w:t>
      </w:r>
      <w:r>
        <w:t>proprietary</w:t>
      </w:r>
      <w:r>
        <w:rPr>
          <w:spacing w:val="-4"/>
        </w:rPr>
        <w:t xml:space="preserve"> </w:t>
      </w:r>
      <w:r>
        <w:t>or</w:t>
      </w:r>
      <w:r>
        <w:rPr>
          <w:spacing w:val="-2"/>
        </w:rPr>
        <w:t xml:space="preserve"> </w:t>
      </w:r>
      <w:r>
        <w:t>related</w:t>
      </w:r>
      <w:r>
        <w:rPr>
          <w:spacing w:val="-3"/>
        </w:rPr>
        <w:t xml:space="preserve"> </w:t>
      </w:r>
      <w:r>
        <w:t>accounts.</w:t>
      </w:r>
      <w:r>
        <w:rPr>
          <w:spacing w:val="-4"/>
        </w:rPr>
        <w:t xml:space="preserve"> </w:t>
      </w:r>
      <w:r>
        <w:t>Such</w:t>
      </w:r>
      <w:r>
        <w:rPr>
          <w:spacing w:val="-2"/>
        </w:rPr>
        <w:t xml:space="preserve"> </w:t>
      </w:r>
      <w:r>
        <w:t>accounts</w:t>
      </w:r>
      <w:r>
        <w:rPr>
          <w:spacing w:val="-6"/>
        </w:rPr>
        <w:t xml:space="preserve"> </w:t>
      </w:r>
      <w:r>
        <w:t>are</w:t>
      </w:r>
      <w:r>
        <w:rPr>
          <w:spacing w:val="-5"/>
        </w:rPr>
        <w:t xml:space="preserve"> </w:t>
      </w:r>
      <w:r>
        <w:t>treated</w:t>
      </w:r>
      <w:r>
        <w:rPr>
          <w:spacing w:val="-2"/>
        </w:rPr>
        <w:t xml:space="preserve"> </w:t>
      </w:r>
      <w:r>
        <w:t>as client accounts and are neither given preferential nor inferior treatment versus other client accounts.</w:t>
      </w:r>
    </w:p>
    <w:p w14:paraId="13728597" w14:textId="77777777" w:rsidR="00207CBB" w:rsidRDefault="00207CBB">
      <w:pPr>
        <w:spacing w:before="40"/>
        <w:ind w:left="230"/>
        <w:rPr>
          <w:b/>
          <w:sz w:val="28"/>
          <w:u w:val="single"/>
        </w:rPr>
      </w:pPr>
      <w:bookmarkStart w:id="20" w:name="_bookmark10"/>
      <w:bookmarkEnd w:id="20"/>
    </w:p>
    <w:p w14:paraId="2B7BB571" w14:textId="77777777" w:rsidR="00207CBB" w:rsidRDefault="007729F9">
      <w:pPr>
        <w:pStyle w:val="Heading1"/>
        <w:ind w:left="0" w:firstLine="210"/>
        <w:jc w:val="left"/>
      </w:pPr>
      <w:bookmarkStart w:id="21" w:name="_Toc201066085"/>
      <w:r>
        <w:t>Item 13: Review of Accounts</w:t>
      </w:r>
      <w:bookmarkEnd w:id="21"/>
    </w:p>
    <w:p w14:paraId="43EC83BF" w14:textId="77777777" w:rsidR="00207CBB" w:rsidRDefault="00207CBB">
      <w:pPr>
        <w:spacing w:before="40"/>
        <w:ind w:left="230"/>
        <w:rPr>
          <w:b/>
          <w:sz w:val="28"/>
          <w:u w:val="single"/>
        </w:rPr>
      </w:pPr>
    </w:p>
    <w:p w14:paraId="63870C1A" w14:textId="77777777" w:rsidR="00207CBB" w:rsidRDefault="007729F9">
      <w:pPr>
        <w:pStyle w:val="BodyText"/>
        <w:spacing w:before="3" w:line="242" w:lineRule="auto"/>
        <w:ind w:left="230" w:right="343"/>
      </w:pPr>
      <w:r>
        <w:t xml:space="preserve">An investment account is established with a custodian who provides accounting for all transactions. An Adviser reviews these transactions each month or as reports are received, </w:t>
      </w:r>
      <w:r>
        <w:lastRenderedPageBreak/>
        <w:t>and provides analysis on a quarterly or more frequent basis.</w:t>
      </w:r>
    </w:p>
    <w:p w14:paraId="4EE839DB" w14:textId="77777777" w:rsidR="00207CBB" w:rsidRDefault="00207CBB">
      <w:pPr>
        <w:pStyle w:val="BodyText"/>
        <w:spacing w:before="6"/>
        <w:rPr>
          <w:sz w:val="23"/>
        </w:rPr>
      </w:pPr>
    </w:p>
    <w:p w14:paraId="3E005C6D" w14:textId="77777777" w:rsidR="00207CBB" w:rsidRDefault="007729F9">
      <w:pPr>
        <w:pStyle w:val="BodyText"/>
        <w:ind w:left="230" w:right="340"/>
      </w:pPr>
      <w:r>
        <w:t xml:space="preserve">The accounts will be reviewed by William Wendling, advisor, Ryan Collier, advisor, </w:t>
      </w:r>
      <w:r>
        <w:rPr>
          <w:spacing w:val="-5"/>
        </w:rPr>
        <w:t xml:space="preserve">David </w:t>
      </w:r>
      <w:r>
        <w:t xml:space="preserve">Crossman, advisor, Jonathan Koop, advisor, Anthony Harcourt, advisor, Austin Stagman, advisor and Evan Bedel, advisor. Accounts are reviewed quarterly or </w:t>
      </w:r>
      <w:r>
        <w:rPr>
          <w:spacing w:val="-3"/>
        </w:rPr>
        <w:t xml:space="preserve">more </w:t>
      </w:r>
      <w:r>
        <w:t>frequently as to appropriateness of investment vehicles given their performance and the ongoing and changing</w:t>
      </w:r>
      <w:r>
        <w:rPr>
          <w:spacing w:val="-10"/>
        </w:rPr>
        <w:t xml:space="preserve"> </w:t>
      </w:r>
      <w:r>
        <w:t>needs</w:t>
      </w:r>
      <w:r>
        <w:rPr>
          <w:spacing w:val="-13"/>
        </w:rPr>
        <w:t xml:space="preserve"> </w:t>
      </w:r>
      <w:r>
        <w:t>of</w:t>
      </w:r>
      <w:r>
        <w:rPr>
          <w:spacing w:val="-12"/>
        </w:rPr>
        <w:t xml:space="preserve"> </w:t>
      </w:r>
      <w:r>
        <w:t>the</w:t>
      </w:r>
      <w:r>
        <w:rPr>
          <w:spacing w:val="-13"/>
        </w:rPr>
        <w:t xml:space="preserve"> </w:t>
      </w:r>
      <w:r>
        <w:t>client.</w:t>
      </w:r>
      <w:r>
        <w:rPr>
          <w:spacing w:val="26"/>
        </w:rPr>
        <w:t xml:space="preserve"> </w:t>
      </w:r>
      <w:r>
        <w:t>There</w:t>
      </w:r>
      <w:r>
        <w:rPr>
          <w:spacing w:val="-12"/>
        </w:rPr>
        <w:t xml:space="preserve"> </w:t>
      </w:r>
      <w:r>
        <w:t>is</w:t>
      </w:r>
      <w:r>
        <w:rPr>
          <w:spacing w:val="-14"/>
        </w:rPr>
        <w:t xml:space="preserve"> </w:t>
      </w:r>
      <w:r>
        <w:t>no</w:t>
      </w:r>
      <w:r>
        <w:rPr>
          <w:spacing w:val="-9"/>
        </w:rPr>
        <w:t xml:space="preserve"> </w:t>
      </w:r>
      <w:r>
        <w:t>limit</w:t>
      </w:r>
      <w:r>
        <w:rPr>
          <w:spacing w:val="-10"/>
        </w:rPr>
        <w:t xml:space="preserve"> </w:t>
      </w:r>
      <w:r>
        <w:t>to</w:t>
      </w:r>
      <w:r>
        <w:rPr>
          <w:spacing w:val="-14"/>
        </w:rPr>
        <w:t xml:space="preserve"> </w:t>
      </w:r>
      <w:r>
        <w:t>the</w:t>
      </w:r>
      <w:r>
        <w:rPr>
          <w:spacing w:val="-12"/>
        </w:rPr>
        <w:t xml:space="preserve"> </w:t>
      </w:r>
      <w:r>
        <w:t>number</w:t>
      </w:r>
      <w:r>
        <w:rPr>
          <w:spacing w:val="-9"/>
        </w:rPr>
        <w:t xml:space="preserve"> </w:t>
      </w:r>
      <w:r>
        <w:t>of</w:t>
      </w:r>
      <w:r>
        <w:rPr>
          <w:spacing w:val="-12"/>
        </w:rPr>
        <w:t xml:space="preserve"> </w:t>
      </w:r>
      <w:r>
        <w:t>accounts</w:t>
      </w:r>
      <w:r>
        <w:rPr>
          <w:spacing w:val="-14"/>
        </w:rPr>
        <w:t xml:space="preserve"> </w:t>
      </w:r>
      <w:r>
        <w:t>that</w:t>
      </w:r>
      <w:r>
        <w:rPr>
          <w:spacing w:val="-10"/>
        </w:rPr>
        <w:t xml:space="preserve"> </w:t>
      </w:r>
      <w:r>
        <w:t>can</w:t>
      </w:r>
      <w:r>
        <w:rPr>
          <w:spacing w:val="-2"/>
        </w:rPr>
        <w:t xml:space="preserve"> </w:t>
      </w:r>
      <w:r>
        <w:t>be</w:t>
      </w:r>
      <w:r>
        <w:rPr>
          <w:spacing w:val="-3"/>
        </w:rPr>
        <w:t xml:space="preserve"> </w:t>
      </w:r>
      <w:r>
        <w:t>assigned to an advisor.</w:t>
      </w:r>
    </w:p>
    <w:p w14:paraId="2EE6A195" w14:textId="77777777" w:rsidR="00207CBB" w:rsidRDefault="00207CBB">
      <w:pPr>
        <w:pStyle w:val="BodyText"/>
        <w:ind w:left="230" w:right="340"/>
      </w:pPr>
    </w:p>
    <w:p w14:paraId="60D19EC1" w14:textId="77777777" w:rsidR="00207CBB" w:rsidRDefault="007729F9">
      <w:pPr>
        <w:pStyle w:val="BodyText"/>
        <w:spacing w:before="1" w:line="237" w:lineRule="auto"/>
        <w:ind w:left="230" w:right="355"/>
      </w:pPr>
      <w:r>
        <w:t>Clients receive a written regular report concerning their investment account from Adviser</w:t>
      </w:r>
      <w:r>
        <w:rPr>
          <w:spacing w:val="-10"/>
        </w:rPr>
        <w:t xml:space="preserve"> </w:t>
      </w:r>
      <w:r>
        <w:t>on</w:t>
      </w:r>
      <w:r>
        <w:rPr>
          <w:spacing w:val="-11"/>
        </w:rPr>
        <w:t xml:space="preserve"> </w:t>
      </w:r>
      <w:r>
        <w:t>a</w:t>
      </w:r>
      <w:r>
        <w:rPr>
          <w:spacing w:val="-8"/>
        </w:rPr>
        <w:t xml:space="preserve"> </w:t>
      </w:r>
      <w:r>
        <w:t>quarterly</w:t>
      </w:r>
      <w:r>
        <w:rPr>
          <w:spacing w:val="-11"/>
        </w:rPr>
        <w:t xml:space="preserve"> </w:t>
      </w:r>
      <w:r>
        <w:t>basis</w:t>
      </w:r>
      <w:r>
        <w:rPr>
          <w:spacing w:val="-13"/>
        </w:rPr>
        <w:t xml:space="preserve"> </w:t>
      </w:r>
      <w:r>
        <w:t>or</w:t>
      </w:r>
      <w:r>
        <w:rPr>
          <w:spacing w:val="-10"/>
        </w:rPr>
        <w:t xml:space="preserve"> </w:t>
      </w:r>
      <w:r>
        <w:t>as</w:t>
      </w:r>
      <w:r>
        <w:rPr>
          <w:spacing w:val="-12"/>
        </w:rPr>
        <w:t xml:space="preserve"> </w:t>
      </w:r>
      <w:r>
        <w:t>mutually</w:t>
      </w:r>
      <w:r>
        <w:rPr>
          <w:spacing w:val="-12"/>
        </w:rPr>
        <w:t xml:space="preserve"> </w:t>
      </w:r>
      <w:r>
        <w:t>determined</w:t>
      </w:r>
      <w:r>
        <w:rPr>
          <w:spacing w:val="-10"/>
        </w:rPr>
        <w:t xml:space="preserve"> </w:t>
      </w:r>
      <w:r>
        <w:t>by</w:t>
      </w:r>
      <w:r>
        <w:rPr>
          <w:spacing w:val="-11"/>
        </w:rPr>
        <w:t xml:space="preserve"> </w:t>
      </w:r>
      <w:r>
        <w:t>the</w:t>
      </w:r>
      <w:r>
        <w:rPr>
          <w:spacing w:val="-13"/>
        </w:rPr>
        <w:t xml:space="preserve"> </w:t>
      </w:r>
      <w:r>
        <w:t>client</w:t>
      </w:r>
      <w:r>
        <w:rPr>
          <w:spacing w:val="-10"/>
        </w:rPr>
        <w:t xml:space="preserve"> </w:t>
      </w:r>
      <w:r>
        <w:t>and</w:t>
      </w:r>
      <w:r>
        <w:rPr>
          <w:spacing w:val="-10"/>
        </w:rPr>
        <w:t xml:space="preserve"> </w:t>
      </w:r>
      <w:r>
        <w:t>Adviser.</w:t>
      </w:r>
      <w:r>
        <w:rPr>
          <w:spacing w:val="-11"/>
        </w:rPr>
        <w:t xml:space="preserve"> </w:t>
      </w:r>
      <w:r>
        <w:t>This</w:t>
      </w:r>
      <w:r>
        <w:rPr>
          <w:spacing w:val="-13"/>
        </w:rPr>
        <w:t xml:space="preserve"> </w:t>
      </w:r>
      <w:r>
        <w:t>report is in addition to the reports received by clients directly from the</w:t>
      </w:r>
      <w:r>
        <w:rPr>
          <w:spacing w:val="-17"/>
        </w:rPr>
        <w:t xml:space="preserve"> </w:t>
      </w:r>
      <w:r>
        <w:t>custodian.</w:t>
      </w:r>
    </w:p>
    <w:p w14:paraId="64C432D8" w14:textId="77777777" w:rsidR="00207CBB" w:rsidRDefault="00207CBB">
      <w:pPr>
        <w:pStyle w:val="BodyText"/>
        <w:spacing w:before="1" w:line="237" w:lineRule="auto"/>
        <w:ind w:left="230" w:right="355"/>
      </w:pPr>
    </w:p>
    <w:p w14:paraId="55DF756A" w14:textId="77777777" w:rsidR="00207CBB" w:rsidRDefault="007729F9">
      <w:pPr>
        <w:pStyle w:val="Heading1"/>
        <w:ind w:left="0" w:firstLine="230"/>
        <w:jc w:val="left"/>
      </w:pPr>
      <w:bookmarkStart w:id="22" w:name="_bookmark11"/>
      <w:bookmarkStart w:id="23" w:name="_Toc201066086"/>
      <w:bookmarkEnd w:id="22"/>
      <w:r>
        <w:t>Item 14: Client Referrals and Other Compensation</w:t>
      </w:r>
      <w:bookmarkEnd w:id="23"/>
    </w:p>
    <w:p w14:paraId="78A84164" w14:textId="77777777" w:rsidR="00207CBB" w:rsidRDefault="00207CBB">
      <w:pPr>
        <w:pStyle w:val="BodyText"/>
        <w:spacing w:before="22"/>
        <w:ind w:left="230"/>
      </w:pPr>
    </w:p>
    <w:p w14:paraId="69E18A05" w14:textId="77777777" w:rsidR="00207CBB" w:rsidRDefault="007729F9">
      <w:pPr>
        <w:pStyle w:val="BodyText"/>
        <w:spacing w:before="22"/>
        <w:ind w:left="230"/>
      </w:pPr>
      <w:r>
        <w:t>Please see Item 12 for Other Compensation and we do not compensate for client referrals.</w:t>
      </w:r>
    </w:p>
    <w:p w14:paraId="0C78C2DA" w14:textId="77777777" w:rsidR="00207CBB" w:rsidRDefault="00207CBB">
      <w:pPr>
        <w:pStyle w:val="BodyText"/>
      </w:pPr>
      <w:bookmarkStart w:id="24" w:name="_bookmark12"/>
      <w:bookmarkEnd w:id="24"/>
    </w:p>
    <w:p w14:paraId="0FD7E14B" w14:textId="77777777" w:rsidR="00207CBB" w:rsidRDefault="007729F9">
      <w:pPr>
        <w:pStyle w:val="Heading1"/>
        <w:ind w:left="0" w:firstLine="230"/>
        <w:jc w:val="left"/>
      </w:pPr>
      <w:bookmarkStart w:id="25" w:name="_Toc201066087"/>
      <w:r>
        <w:t>Item 15: Custody</w:t>
      </w:r>
      <w:bookmarkEnd w:id="25"/>
    </w:p>
    <w:p w14:paraId="67EAA148" w14:textId="77777777" w:rsidR="00207CBB" w:rsidRDefault="00207CBB">
      <w:pPr>
        <w:pStyle w:val="BodyText"/>
        <w:spacing w:before="9"/>
        <w:rPr>
          <w:b/>
        </w:rPr>
      </w:pPr>
    </w:p>
    <w:p w14:paraId="73655E1B" w14:textId="77777777" w:rsidR="00326EEE" w:rsidRDefault="00326EEE">
      <w:pPr>
        <w:ind w:left="119" w:firstLine="111"/>
        <w:rPr>
          <w:rFonts w:ascii="Cambria"/>
          <w:b/>
          <w:sz w:val="24"/>
          <w:szCs w:val="24"/>
          <w:u w:val="single"/>
        </w:rPr>
      </w:pPr>
    </w:p>
    <w:p w14:paraId="2F3A3959" w14:textId="32A808C6" w:rsidR="00207CBB" w:rsidRDefault="007729F9">
      <w:pPr>
        <w:ind w:left="119" w:firstLine="111"/>
        <w:rPr>
          <w:rFonts w:ascii="Cambria"/>
          <w:b/>
          <w:sz w:val="24"/>
          <w:szCs w:val="24"/>
          <w:u w:val="single"/>
        </w:rPr>
      </w:pPr>
      <w:r>
        <w:rPr>
          <w:rFonts w:ascii="Cambria"/>
          <w:b/>
          <w:sz w:val="24"/>
          <w:szCs w:val="24"/>
          <w:u w:val="single"/>
        </w:rPr>
        <w:t>Deduction of Advisory Fees</w:t>
      </w:r>
    </w:p>
    <w:p w14:paraId="67B6DE47" w14:textId="283F3CC3" w:rsidR="00207CBB" w:rsidRDefault="007729F9">
      <w:pPr>
        <w:pStyle w:val="BodyText"/>
        <w:spacing w:before="189"/>
        <w:ind w:left="230" w:right="341"/>
      </w:pPr>
      <w:r>
        <w:t>While</w:t>
      </w:r>
      <w:r>
        <w:rPr>
          <w:spacing w:val="-8"/>
        </w:rPr>
        <w:t xml:space="preserve"> </w:t>
      </w:r>
      <w:r>
        <w:t>our</w:t>
      </w:r>
      <w:r>
        <w:rPr>
          <w:spacing w:val="-4"/>
        </w:rPr>
        <w:t xml:space="preserve"> </w:t>
      </w:r>
      <w:r>
        <w:t>firm</w:t>
      </w:r>
      <w:r>
        <w:rPr>
          <w:spacing w:val="-5"/>
        </w:rPr>
        <w:t xml:space="preserve"> </w:t>
      </w:r>
      <w:r>
        <w:t>does</w:t>
      </w:r>
      <w:r>
        <w:rPr>
          <w:spacing w:val="-8"/>
        </w:rPr>
        <w:t xml:space="preserve"> </w:t>
      </w:r>
      <w:r>
        <w:t>not</w:t>
      </w:r>
      <w:r>
        <w:rPr>
          <w:spacing w:val="-6"/>
        </w:rPr>
        <w:t xml:space="preserve"> </w:t>
      </w:r>
      <w:r>
        <w:t>maintain</w:t>
      </w:r>
      <w:r>
        <w:rPr>
          <w:spacing w:val="-5"/>
        </w:rPr>
        <w:t xml:space="preserve"> </w:t>
      </w:r>
      <w:r>
        <w:t>physical</w:t>
      </w:r>
      <w:r>
        <w:rPr>
          <w:spacing w:val="-5"/>
        </w:rPr>
        <w:t xml:space="preserve"> </w:t>
      </w:r>
      <w:r>
        <w:t>custody</w:t>
      </w:r>
      <w:r>
        <w:rPr>
          <w:spacing w:val="-6"/>
        </w:rPr>
        <w:t xml:space="preserve"> </w:t>
      </w:r>
      <w:r>
        <w:t>of</w:t>
      </w:r>
      <w:r>
        <w:rPr>
          <w:spacing w:val="-7"/>
        </w:rPr>
        <w:t xml:space="preserve"> </w:t>
      </w:r>
      <w:r>
        <w:t>client</w:t>
      </w:r>
      <w:r>
        <w:rPr>
          <w:spacing w:val="-5"/>
        </w:rPr>
        <w:t xml:space="preserve"> </w:t>
      </w:r>
      <w:r>
        <w:t>assets</w:t>
      </w:r>
      <w:r>
        <w:rPr>
          <w:spacing w:val="-9"/>
        </w:rPr>
        <w:t xml:space="preserve"> </w:t>
      </w:r>
      <w:r>
        <w:t>(which</w:t>
      </w:r>
      <w:r>
        <w:rPr>
          <w:spacing w:val="-3"/>
        </w:rPr>
        <w:t xml:space="preserve"> </w:t>
      </w:r>
      <w:r>
        <w:t>are</w:t>
      </w:r>
      <w:r>
        <w:rPr>
          <w:spacing w:val="-7"/>
        </w:rPr>
        <w:t xml:space="preserve"> </w:t>
      </w:r>
      <w:r>
        <w:t>maintained</w:t>
      </w:r>
      <w:r>
        <w:rPr>
          <w:spacing w:val="-5"/>
        </w:rPr>
        <w:t xml:space="preserve"> </w:t>
      </w:r>
      <w:r>
        <w:t>by a qualified custodian), we are deemed to have custody of certain client assets if given the authority to withdraw assets from client accounts, as further described below under “Third Party Money Movement.” All of our clients receive account statements directly from their qualified custodian(s) at least quarterly upon opening of an account. We urge our clients to carefully review these statements. Additionally, if our firm decides to send its own account statements to clients, such statements will include a legend that recommends the client compare the account statements received from the qualified custodian with those received from</w:t>
      </w:r>
      <w:r>
        <w:rPr>
          <w:spacing w:val="-14"/>
        </w:rPr>
        <w:t xml:space="preserve"> </w:t>
      </w:r>
      <w:r>
        <w:t>our</w:t>
      </w:r>
      <w:r>
        <w:rPr>
          <w:spacing w:val="-14"/>
        </w:rPr>
        <w:t xml:space="preserve"> </w:t>
      </w:r>
      <w:r>
        <w:t>firm.</w:t>
      </w:r>
      <w:r>
        <w:rPr>
          <w:spacing w:val="-17"/>
        </w:rPr>
        <w:t xml:space="preserve"> </w:t>
      </w:r>
      <w:r>
        <w:t>Clients</w:t>
      </w:r>
      <w:r>
        <w:rPr>
          <w:spacing w:val="-17"/>
        </w:rPr>
        <w:t xml:space="preserve"> </w:t>
      </w:r>
      <w:r>
        <w:t>are</w:t>
      </w:r>
      <w:r>
        <w:rPr>
          <w:spacing w:val="-13"/>
        </w:rPr>
        <w:t xml:space="preserve"> </w:t>
      </w:r>
      <w:r>
        <w:t>encouraged</w:t>
      </w:r>
      <w:r>
        <w:rPr>
          <w:spacing w:val="-14"/>
        </w:rPr>
        <w:t xml:space="preserve"> </w:t>
      </w:r>
      <w:r>
        <w:t>to</w:t>
      </w:r>
      <w:r>
        <w:rPr>
          <w:spacing w:val="-14"/>
        </w:rPr>
        <w:t xml:space="preserve"> </w:t>
      </w:r>
      <w:r>
        <w:t>raise</w:t>
      </w:r>
      <w:r>
        <w:rPr>
          <w:spacing w:val="-12"/>
        </w:rPr>
        <w:t xml:space="preserve"> </w:t>
      </w:r>
      <w:r>
        <w:t>any</w:t>
      </w:r>
      <w:r>
        <w:rPr>
          <w:spacing w:val="-16"/>
        </w:rPr>
        <w:t xml:space="preserve"> </w:t>
      </w:r>
      <w:r>
        <w:t>questions</w:t>
      </w:r>
      <w:r>
        <w:rPr>
          <w:spacing w:val="-13"/>
        </w:rPr>
        <w:t xml:space="preserve"> </w:t>
      </w:r>
      <w:r>
        <w:t>with</w:t>
      </w:r>
      <w:r>
        <w:rPr>
          <w:spacing w:val="-13"/>
        </w:rPr>
        <w:t xml:space="preserve"> </w:t>
      </w:r>
      <w:r>
        <w:t>us</w:t>
      </w:r>
      <w:r>
        <w:rPr>
          <w:spacing w:val="-18"/>
        </w:rPr>
        <w:t xml:space="preserve"> </w:t>
      </w:r>
      <w:r>
        <w:t>about</w:t>
      </w:r>
      <w:r>
        <w:rPr>
          <w:spacing w:val="-15"/>
        </w:rPr>
        <w:t xml:space="preserve"> </w:t>
      </w:r>
      <w:r>
        <w:t>the</w:t>
      </w:r>
      <w:r>
        <w:rPr>
          <w:spacing w:val="-18"/>
        </w:rPr>
        <w:t xml:space="preserve"> </w:t>
      </w:r>
      <w:r>
        <w:t>custody,</w:t>
      </w:r>
      <w:r>
        <w:rPr>
          <w:spacing w:val="-16"/>
        </w:rPr>
        <w:t xml:space="preserve"> </w:t>
      </w:r>
      <w:r>
        <w:t>safety or security of their assets and our custodial</w:t>
      </w:r>
      <w:r>
        <w:rPr>
          <w:spacing w:val="-9"/>
        </w:rPr>
        <w:t xml:space="preserve"> </w:t>
      </w:r>
      <w:r>
        <w:t>recommendations.</w:t>
      </w:r>
    </w:p>
    <w:p w14:paraId="6D7A268D" w14:textId="77777777" w:rsidR="00207CBB" w:rsidRDefault="00207CBB">
      <w:pPr>
        <w:pStyle w:val="BodyText"/>
        <w:spacing w:before="1"/>
      </w:pPr>
    </w:p>
    <w:p w14:paraId="0225EA7C" w14:textId="77777777" w:rsidR="00207CBB" w:rsidRDefault="007729F9">
      <w:pPr>
        <w:ind w:left="119" w:firstLine="111"/>
        <w:rPr>
          <w:rFonts w:ascii="Cambria"/>
          <w:b/>
          <w:sz w:val="24"/>
          <w:szCs w:val="24"/>
        </w:rPr>
      </w:pPr>
      <w:r>
        <w:rPr>
          <w:rFonts w:ascii="Cambria"/>
          <w:b/>
          <w:sz w:val="24"/>
          <w:szCs w:val="24"/>
          <w:u w:val="single"/>
        </w:rPr>
        <w:t>Third Party Money Movement</w:t>
      </w:r>
    </w:p>
    <w:p w14:paraId="03A142E2" w14:textId="77777777" w:rsidR="00207CBB" w:rsidRDefault="00207CBB">
      <w:pPr>
        <w:pStyle w:val="BodyText"/>
        <w:spacing w:before="10"/>
        <w:rPr>
          <w:rFonts w:ascii="Cambria"/>
          <w:b/>
        </w:rPr>
      </w:pPr>
    </w:p>
    <w:p w14:paraId="5C8F958B" w14:textId="77777777" w:rsidR="00207CBB" w:rsidRDefault="007729F9">
      <w:pPr>
        <w:pStyle w:val="BodyText"/>
        <w:ind w:left="230" w:right="220"/>
      </w:pPr>
      <w:r>
        <w:t>On</w:t>
      </w:r>
      <w:r>
        <w:rPr>
          <w:spacing w:val="-7"/>
        </w:rPr>
        <w:t xml:space="preserve"> </w:t>
      </w:r>
      <w:r>
        <w:t>February</w:t>
      </w:r>
      <w:r>
        <w:rPr>
          <w:spacing w:val="-8"/>
        </w:rPr>
        <w:t xml:space="preserve"> </w:t>
      </w:r>
      <w:r>
        <w:t>21,</w:t>
      </w:r>
      <w:r>
        <w:rPr>
          <w:spacing w:val="-9"/>
        </w:rPr>
        <w:t xml:space="preserve"> </w:t>
      </w:r>
      <w:r>
        <w:t>2017,</w:t>
      </w:r>
      <w:r>
        <w:rPr>
          <w:spacing w:val="-9"/>
        </w:rPr>
        <w:t xml:space="preserve"> </w:t>
      </w:r>
      <w:r>
        <w:t>the</w:t>
      </w:r>
      <w:r>
        <w:rPr>
          <w:spacing w:val="-9"/>
        </w:rPr>
        <w:t xml:space="preserve"> </w:t>
      </w:r>
      <w:r>
        <w:t>SEC</w:t>
      </w:r>
      <w:r>
        <w:rPr>
          <w:spacing w:val="-8"/>
        </w:rPr>
        <w:t xml:space="preserve"> </w:t>
      </w:r>
      <w:r>
        <w:t>issued</w:t>
      </w:r>
      <w:r>
        <w:rPr>
          <w:spacing w:val="-5"/>
        </w:rPr>
        <w:t xml:space="preserve"> </w:t>
      </w:r>
      <w:r>
        <w:t>a</w:t>
      </w:r>
      <w:r>
        <w:rPr>
          <w:spacing w:val="-9"/>
        </w:rPr>
        <w:t xml:space="preserve"> </w:t>
      </w:r>
      <w:r>
        <w:t>no‐action</w:t>
      </w:r>
      <w:r>
        <w:rPr>
          <w:spacing w:val="-7"/>
        </w:rPr>
        <w:t xml:space="preserve"> </w:t>
      </w:r>
      <w:r>
        <w:t>letter</w:t>
      </w:r>
      <w:r>
        <w:rPr>
          <w:spacing w:val="-6"/>
        </w:rPr>
        <w:t xml:space="preserve"> </w:t>
      </w:r>
      <w:r>
        <w:t>(“Letter”)</w:t>
      </w:r>
      <w:r>
        <w:rPr>
          <w:spacing w:val="-6"/>
        </w:rPr>
        <w:t xml:space="preserve"> </w:t>
      </w:r>
      <w:r>
        <w:t>with</w:t>
      </w:r>
      <w:r>
        <w:rPr>
          <w:spacing w:val="-6"/>
        </w:rPr>
        <w:t xml:space="preserve"> </w:t>
      </w:r>
      <w:r>
        <w:t>respect</w:t>
      </w:r>
      <w:r>
        <w:rPr>
          <w:spacing w:val="-7"/>
        </w:rPr>
        <w:t xml:space="preserve"> </w:t>
      </w:r>
      <w:r>
        <w:t>to</w:t>
      </w:r>
      <w:r>
        <w:rPr>
          <w:spacing w:val="-5"/>
        </w:rPr>
        <w:t xml:space="preserve"> </w:t>
      </w:r>
      <w:r>
        <w:t>Rule</w:t>
      </w:r>
      <w:r>
        <w:rPr>
          <w:spacing w:val="-9"/>
        </w:rPr>
        <w:t xml:space="preserve"> </w:t>
      </w:r>
      <w:r>
        <w:t>206(4)‐ 2 (“Custody Rule”) under the Investment Advisers Act of 1940 (“Advisers Act”). The letter provided guidance on the Custody Rule as well as clarified that an adviser who has the power to disburse client funds to a third party under a standing letter of authorization (“SLOA”) is deemed</w:t>
      </w:r>
      <w:r>
        <w:rPr>
          <w:spacing w:val="-7"/>
        </w:rPr>
        <w:t xml:space="preserve"> </w:t>
      </w:r>
      <w:r>
        <w:t>to</w:t>
      </w:r>
      <w:r>
        <w:rPr>
          <w:spacing w:val="-10"/>
        </w:rPr>
        <w:t xml:space="preserve"> </w:t>
      </w:r>
      <w:r>
        <w:t>have</w:t>
      </w:r>
      <w:r>
        <w:rPr>
          <w:spacing w:val="-9"/>
        </w:rPr>
        <w:t xml:space="preserve"> </w:t>
      </w:r>
      <w:r>
        <w:t>custody.</w:t>
      </w:r>
      <w:r>
        <w:rPr>
          <w:spacing w:val="-10"/>
        </w:rPr>
        <w:t xml:space="preserve"> </w:t>
      </w:r>
      <w:r>
        <w:t>As</w:t>
      </w:r>
      <w:r>
        <w:rPr>
          <w:spacing w:val="-10"/>
        </w:rPr>
        <w:t xml:space="preserve"> </w:t>
      </w:r>
      <w:r>
        <w:t>such,</w:t>
      </w:r>
      <w:r>
        <w:rPr>
          <w:spacing w:val="-9"/>
        </w:rPr>
        <w:t xml:space="preserve"> </w:t>
      </w:r>
      <w:r>
        <w:t>our</w:t>
      </w:r>
      <w:r>
        <w:rPr>
          <w:spacing w:val="-11"/>
        </w:rPr>
        <w:t xml:space="preserve"> </w:t>
      </w:r>
      <w:r>
        <w:t>firm</w:t>
      </w:r>
      <w:r>
        <w:rPr>
          <w:spacing w:val="-10"/>
        </w:rPr>
        <w:t xml:space="preserve"> </w:t>
      </w:r>
      <w:r>
        <w:t>has</w:t>
      </w:r>
      <w:r>
        <w:rPr>
          <w:spacing w:val="-10"/>
        </w:rPr>
        <w:t xml:space="preserve"> </w:t>
      </w:r>
      <w:r>
        <w:t>adopted</w:t>
      </w:r>
      <w:r>
        <w:rPr>
          <w:spacing w:val="-7"/>
        </w:rPr>
        <w:t xml:space="preserve"> </w:t>
      </w:r>
      <w:r>
        <w:t>the</w:t>
      </w:r>
      <w:r>
        <w:rPr>
          <w:spacing w:val="-9"/>
        </w:rPr>
        <w:t xml:space="preserve"> </w:t>
      </w:r>
      <w:r>
        <w:t>following</w:t>
      </w:r>
      <w:r>
        <w:rPr>
          <w:spacing w:val="-11"/>
        </w:rPr>
        <w:t xml:space="preserve"> </w:t>
      </w:r>
      <w:r>
        <w:t>safeguards</w:t>
      </w:r>
      <w:r>
        <w:rPr>
          <w:spacing w:val="-10"/>
        </w:rPr>
        <w:t xml:space="preserve"> </w:t>
      </w:r>
      <w:r>
        <w:t>in</w:t>
      </w:r>
      <w:r>
        <w:rPr>
          <w:spacing w:val="-8"/>
        </w:rPr>
        <w:t xml:space="preserve"> </w:t>
      </w:r>
      <w:r>
        <w:t>conjunction with our</w:t>
      </w:r>
      <w:r>
        <w:rPr>
          <w:spacing w:val="1"/>
        </w:rPr>
        <w:t xml:space="preserve"> </w:t>
      </w:r>
      <w:r>
        <w:t>custodian:</w:t>
      </w:r>
    </w:p>
    <w:p w14:paraId="0B68E43C" w14:textId="77777777" w:rsidR="00207CBB" w:rsidRDefault="00207CBB">
      <w:pPr>
        <w:pStyle w:val="BodyText"/>
      </w:pPr>
    </w:p>
    <w:p w14:paraId="520887D2" w14:textId="77777777" w:rsidR="00207CBB" w:rsidRDefault="007729F9">
      <w:pPr>
        <w:pStyle w:val="ListParagraph"/>
        <w:numPr>
          <w:ilvl w:val="0"/>
          <w:numId w:val="2"/>
        </w:numPr>
        <w:tabs>
          <w:tab w:val="left" w:pos="841"/>
        </w:tabs>
        <w:spacing w:before="78"/>
        <w:ind w:right="228"/>
        <w:rPr>
          <w:rFonts w:ascii="Cambria" w:hAnsi="Cambria"/>
          <w:sz w:val="24"/>
          <w:szCs w:val="24"/>
        </w:rPr>
      </w:pPr>
      <w:r>
        <w:rPr>
          <w:rFonts w:ascii="Cambria" w:hAnsi="Cambria"/>
          <w:sz w:val="24"/>
          <w:szCs w:val="24"/>
        </w:rPr>
        <w:t>The</w:t>
      </w:r>
      <w:r>
        <w:rPr>
          <w:rFonts w:ascii="Cambria" w:hAnsi="Cambria"/>
          <w:spacing w:val="-15"/>
          <w:sz w:val="24"/>
          <w:szCs w:val="24"/>
        </w:rPr>
        <w:t xml:space="preserve"> </w:t>
      </w:r>
      <w:r>
        <w:rPr>
          <w:rFonts w:ascii="Cambria" w:hAnsi="Cambria"/>
          <w:sz w:val="24"/>
          <w:szCs w:val="24"/>
        </w:rPr>
        <w:t>client</w:t>
      </w:r>
      <w:r>
        <w:rPr>
          <w:rFonts w:ascii="Cambria" w:hAnsi="Cambria"/>
          <w:spacing w:val="-11"/>
          <w:sz w:val="24"/>
          <w:szCs w:val="24"/>
        </w:rPr>
        <w:t xml:space="preserve"> </w:t>
      </w:r>
      <w:r>
        <w:rPr>
          <w:rFonts w:ascii="Cambria" w:hAnsi="Cambria"/>
          <w:sz w:val="24"/>
          <w:szCs w:val="24"/>
        </w:rPr>
        <w:t>provides</w:t>
      </w:r>
      <w:r>
        <w:rPr>
          <w:rFonts w:ascii="Cambria" w:hAnsi="Cambria"/>
          <w:spacing w:val="-11"/>
          <w:sz w:val="24"/>
          <w:szCs w:val="24"/>
        </w:rPr>
        <w:t xml:space="preserve"> </w:t>
      </w:r>
      <w:r>
        <w:rPr>
          <w:rFonts w:ascii="Cambria" w:hAnsi="Cambria"/>
          <w:sz w:val="24"/>
          <w:szCs w:val="24"/>
        </w:rPr>
        <w:t>an</w:t>
      </w:r>
      <w:r>
        <w:rPr>
          <w:rFonts w:ascii="Cambria" w:hAnsi="Cambria"/>
          <w:spacing w:val="-11"/>
          <w:sz w:val="24"/>
          <w:szCs w:val="24"/>
        </w:rPr>
        <w:t xml:space="preserve"> </w:t>
      </w:r>
      <w:r>
        <w:rPr>
          <w:rFonts w:ascii="Cambria" w:hAnsi="Cambria"/>
          <w:sz w:val="24"/>
          <w:szCs w:val="24"/>
        </w:rPr>
        <w:t>instruction</w:t>
      </w:r>
      <w:r>
        <w:rPr>
          <w:rFonts w:ascii="Cambria" w:hAnsi="Cambria"/>
          <w:spacing w:val="-10"/>
          <w:sz w:val="24"/>
          <w:szCs w:val="24"/>
        </w:rPr>
        <w:t xml:space="preserve"> </w:t>
      </w:r>
      <w:r>
        <w:rPr>
          <w:rFonts w:ascii="Cambria" w:hAnsi="Cambria"/>
          <w:sz w:val="24"/>
          <w:szCs w:val="24"/>
        </w:rPr>
        <w:t>to</w:t>
      </w:r>
      <w:r>
        <w:rPr>
          <w:rFonts w:ascii="Cambria" w:hAnsi="Cambria"/>
          <w:spacing w:val="-14"/>
          <w:sz w:val="24"/>
          <w:szCs w:val="24"/>
        </w:rPr>
        <w:t xml:space="preserve"> </w:t>
      </w:r>
      <w:r>
        <w:rPr>
          <w:rFonts w:ascii="Cambria" w:hAnsi="Cambria"/>
          <w:sz w:val="24"/>
          <w:szCs w:val="24"/>
        </w:rPr>
        <w:t>the</w:t>
      </w:r>
      <w:r>
        <w:rPr>
          <w:rFonts w:ascii="Cambria" w:hAnsi="Cambria"/>
          <w:spacing w:val="-14"/>
          <w:sz w:val="24"/>
          <w:szCs w:val="24"/>
        </w:rPr>
        <w:t xml:space="preserve"> </w:t>
      </w:r>
      <w:r>
        <w:rPr>
          <w:rFonts w:ascii="Cambria" w:hAnsi="Cambria"/>
          <w:sz w:val="24"/>
          <w:szCs w:val="24"/>
        </w:rPr>
        <w:t>qualified</w:t>
      </w:r>
      <w:r>
        <w:rPr>
          <w:rFonts w:ascii="Cambria" w:hAnsi="Cambria"/>
          <w:spacing w:val="-10"/>
          <w:sz w:val="24"/>
          <w:szCs w:val="24"/>
        </w:rPr>
        <w:t xml:space="preserve"> </w:t>
      </w:r>
      <w:r>
        <w:rPr>
          <w:rFonts w:ascii="Cambria" w:hAnsi="Cambria"/>
          <w:sz w:val="24"/>
          <w:szCs w:val="24"/>
        </w:rPr>
        <w:t>custodian,</w:t>
      </w:r>
      <w:r>
        <w:rPr>
          <w:rFonts w:ascii="Cambria" w:hAnsi="Cambria"/>
          <w:spacing w:val="-14"/>
          <w:sz w:val="24"/>
          <w:szCs w:val="24"/>
        </w:rPr>
        <w:t xml:space="preserve"> </w:t>
      </w:r>
      <w:r>
        <w:rPr>
          <w:rFonts w:ascii="Cambria" w:hAnsi="Cambria"/>
          <w:sz w:val="24"/>
          <w:szCs w:val="24"/>
        </w:rPr>
        <w:t>in</w:t>
      </w:r>
      <w:r>
        <w:rPr>
          <w:rFonts w:ascii="Cambria" w:hAnsi="Cambria"/>
          <w:spacing w:val="-11"/>
          <w:sz w:val="24"/>
          <w:szCs w:val="24"/>
        </w:rPr>
        <w:t xml:space="preserve"> </w:t>
      </w:r>
      <w:r>
        <w:rPr>
          <w:rFonts w:ascii="Cambria" w:hAnsi="Cambria"/>
          <w:sz w:val="24"/>
          <w:szCs w:val="24"/>
        </w:rPr>
        <w:t>writing,</w:t>
      </w:r>
      <w:r>
        <w:rPr>
          <w:rFonts w:ascii="Cambria" w:hAnsi="Cambria"/>
          <w:spacing w:val="-14"/>
          <w:sz w:val="24"/>
          <w:szCs w:val="24"/>
        </w:rPr>
        <w:t xml:space="preserve"> </w:t>
      </w:r>
      <w:r>
        <w:rPr>
          <w:rFonts w:ascii="Cambria" w:hAnsi="Cambria"/>
          <w:sz w:val="24"/>
          <w:szCs w:val="24"/>
        </w:rPr>
        <w:t>that</w:t>
      </w:r>
      <w:r>
        <w:rPr>
          <w:rFonts w:ascii="Cambria" w:hAnsi="Cambria"/>
          <w:spacing w:val="-11"/>
          <w:sz w:val="24"/>
          <w:szCs w:val="24"/>
        </w:rPr>
        <w:t xml:space="preserve"> </w:t>
      </w:r>
      <w:r>
        <w:rPr>
          <w:rFonts w:ascii="Cambria" w:hAnsi="Cambria"/>
          <w:sz w:val="24"/>
          <w:szCs w:val="24"/>
        </w:rPr>
        <w:t>includes</w:t>
      </w:r>
      <w:r>
        <w:rPr>
          <w:rFonts w:ascii="Cambria" w:hAnsi="Cambria"/>
          <w:spacing w:val="-12"/>
          <w:sz w:val="24"/>
          <w:szCs w:val="24"/>
        </w:rPr>
        <w:t xml:space="preserve"> </w:t>
      </w:r>
      <w:r>
        <w:rPr>
          <w:rFonts w:ascii="Cambria" w:hAnsi="Cambria"/>
          <w:sz w:val="24"/>
          <w:szCs w:val="24"/>
        </w:rPr>
        <w:t>the</w:t>
      </w:r>
      <w:r>
        <w:rPr>
          <w:rFonts w:ascii="Cambria" w:hAnsi="Cambria"/>
          <w:spacing w:val="-14"/>
          <w:sz w:val="24"/>
          <w:szCs w:val="24"/>
        </w:rPr>
        <w:t xml:space="preserve"> </w:t>
      </w:r>
      <w:r>
        <w:rPr>
          <w:rFonts w:ascii="Cambria" w:hAnsi="Cambria"/>
          <w:sz w:val="24"/>
          <w:szCs w:val="24"/>
        </w:rPr>
        <w:t>client’s signature, the third party’s name, and either the third party’s address or the third party’s account number at a custodian to which the transfer should be</w:t>
      </w:r>
      <w:r>
        <w:rPr>
          <w:rFonts w:ascii="Cambria" w:hAnsi="Cambria"/>
          <w:spacing w:val="-7"/>
          <w:sz w:val="24"/>
          <w:szCs w:val="24"/>
        </w:rPr>
        <w:t xml:space="preserve"> </w:t>
      </w:r>
      <w:r>
        <w:rPr>
          <w:rFonts w:ascii="Cambria" w:hAnsi="Cambria"/>
          <w:sz w:val="24"/>
          <w:szCs w:val="24"/>
        </w:rPr>
        <w:t>directed.</w:t>
      </w:r>
    </w:p>
    <w:p w14:paraId="2C4F5BB5" w14:textId="77777777" w:rsidR="00207CBB" w:rsidRDefault="007729F9">
      <w:pPr>
        <w:pStyle w:val="ListParagraph"/>
        <w:numPr>
          <w:ilvl w:val="0"/>
          <w:numId w:val="2"/>
        </w:numPr>
        <w:tabs>
          <w:tab w:val="left" w:pos="841"/>
        </w:tabs>
        <w:spacing w:before="78"/>
        <w:ind w:right="228"/>
        <w:rPr>
          <w:rFonts w:ascii="Cambria" w:hAnsi="Cambria"/>
          <w:sz w:val="24"/>
          <w:szCs w:val="24"/>
        </w:rPr>
      </w:pPr>
      <w:r>
        <w:rPr>
          <w:rFonts w:ascii="Cambria" w:hAnsi="Cambria"/>
          <w:sz w:val="24"/>
          <w:szCs w:val="24"/>
        </w:rPr>
        <w:t>The</w:t>
      </w:r>
      <w:r>
        <w:rPr>
          <w:rFonts w:ascii="Cambria" w:hAnsi="Cambria"/>
          <w:spacing w:val="-11"/>
          <w:sz w:val="24"/>
          <w:szCs w:val="24"/>
        </w:rPr>
        <w:t xml:space="preserve"> </w:t>
      </w:r>
      <w:r>
        <w:rPr>
          <w:rFonts w:ascii="Cambria" w:hAnsi="Cambria"/>
          <w:sz w:val="24"/>
          <w:szCs w:val="24"/>
        </w:rPr>
        <w:t>client</w:t>
      </w:r>
      <w:r>
        <w:rPr>
          <w:rFonts w:ascii="Cambria" w:hAnsi="Cambria"/>
          <w:spacing w:val="-11"/>
          <w:sz w:val="24"/>
          <w:szCs w:val="24"/>
        </w:rPr>
        <w:t xml:space="preserve"> </w:t>
      </w:r>
      <w:r>
        <w:rPr>
          <w:rFonts w:ascii="Cambria" w:hAnsi="Cambria"/>
          <w:sz w:val="24"/>
          <w:szCs w:val="24"/>
        </w:rPr>
        <w:t>authorizes</w:t>
      </w:r>
      <w:r>
        <w:rPr>
          <w:rFonts w:ascii="Cambria" w:hAnsi="Cambria"/>
          <w:spacing w:val="-7"/>
          <w:sz w:val="24"/>
          <w:szCs w:val="24"/>
        </w:rPr>
        <w:t xml:space="preserve"> </w:t>
      </w:r>
      <w:r>
        <w:rPr>
          <w:rFonts w:ascii="Cambria" w:hAnsi="Cambria"/>
          <w:sz w:val="24"/>
          <w:szCs w:val="24"/>
        </w:rPr>
        <w:t>the</w:t>
      </w:r>
      <w:r>
        <w:rPr>
          <w:rFonts w:ascii="Cambria" w:hAnsi="Cambria"/>
          <w:spacing w:val="-15"/>
          <w:sz w:val="24"/>
          <w:szCs w:val="24"/>
        </w:rPr>
        <w:t xml:space="preserve"> </w:t>
      </w:r>
      <w:r>
        <w:rPr>
          <w:rFonts w:ascii="Cambria" w:hAnsi="Cambria"/>
          <w:sz w:val="24"/>
          <w:szCs w:val="24"/>
        </w:rPr>
        <w:t>investment</w:t>
      </w:r>
      <w:r>
        <w:rPr>
          <w:rFonts w:ascii="Cambria" w:hAnsi="Cambria"/>
          <w:spacing w:val="-11"/>
          <w:sz w:val="24"/>
          <w:szCs w:val="24"/>
        </w:rPr>
        <w:t xml:space="preserve"> </w:t>
      </w:r>
      <w:r>
        <w:rPr>
          <w:rFonts w:ascii="Cambria" w:hAnsi="Cambria"/>
          <w:sz w:val="24"/>
          <w:szCs w:val="24"/>
        </w:rPr>
        <w:t>adviser,</w:t>
      </w:r>
      <w:r>
        <w:rPr>
          <w:rFonts w:ascii="Cambria" w:hAnsi="Cambria"/>
          <w:spacing w:val="-15"/>
          <w:sz w:val="24"/>
          <w:szCs w:val="24"/>
        </w:rPr>
        <w:t xml:space="preserve"> </w:t>
      </w:r>
      <w:r>
        <w:rPr>
          <w:rFonts w:ascii="Cambria" w:hAnsi="Cambria"/>
          <w:sz w:val="24"/>
          <w:szCs w:val="24"/>
        </w:rPr>
        <w:t>in</w:t>
      </w:r>
      <w:r>
        <w:rPr>
          <w:rFonts w:ascii="Cambria" w:hAnsi="Cambria"/>
          <w:spacing w:val="-11"/>
          <w:sz w:val="24"/>
          <w:szCs w:val="24"/>
        </w:rPr>
        <w:t xml:space="preserve"> </w:t>
      </w:r>
      <w:r>
        <w:rPr>
          <w:rFonts w:ascii="Cambria" w:hAnsi="Cambria"/>
          <w:sz w:val="24"/>
          <w:szCs w:val="24"/>
        </w:rPr>
        <w:t>writing,</w:t>
      </w:r>
      <w:r>
        <w:rPr>
          <w:rFonts w:ascii="Cambria" w:hAnsi="Cambria"/>
          <w:spacing w:val="-15"/>
          <w:sz w:val="24"/>
          <w:szCs w:val="24"/>
        </w:rPr>
        <w:t xml:space="preserve"> </w:t>
      </w:r>
      <w:r>
        <w:rPr>
          <w:rFonts w:ascii="Cambria" w:hAnsi="Cambria"/>
          <w:sz w:val="24"/>
          <w:szCs w:val="24"/>
        </w:rPr>
        <w:t>either</w:t>
      </w:r>
      <w:r>
        <w:rPr>
          <w:rFonts w:ascii="Cambria" w:hAnsi="Cambria"/>
          <w:spacing w:val="-13"/>
          <w:sz w:val="24"/>
          <w:szCs w:val="24"/>
        </w:rPr>
        <w:t xml:space="preserve"> </w:t>
      </w:r>
      <w:r>
        <w:rPr>
          <w:rFonts w:ascii="Cambria" w:hAnsi="Cambria"/>
          <w:sz w:val="24"/>
          <w:szCs w:val="24"/>
        </w:rPr>
        <w:t>on</w:t>
      </w:r>
      <w:r>
        <w:rPr>
          <w:rFonts w:ascii="Cambria" w:hAnsi="Cambria"/>
          <w:spacing w:val="-11"/>
          <w:sz w:val="24"/>
          <w:szCs w:val="24"/>
        </w:rPr>
        <w:t xml:space="preserve"> </w:t>
      </w:r>
      <w:r>
        <w:rPr>
          <w:rFonts w:ascii="Cambria" w:hAnsi="Cambria"/>
          <w:sz w:val="24"/>
          <w:szCs w:val="24"/>
        </w:rPr>
        <w:t>the</w:t>
      </w:r>
      <w:r>
        <w:rPr>
          <w:rFonts w:ascii="Cambria" w:hAnsi="Cambria"/>
          <w:spacing w:val="-10"/>
          <w:sz w:val="24"/>
          <w:szCs w:val="24"/>
        </w:rPr>
        <w:t xml:space="preserve"> </w:t>
      </w:r>
      <w:r>
        <w:rPr>
          <w:rFonts w:ascii="Cambria" w:hAnsi="Cambria"/>
          <w:sz w:val="24"/>
          <w:szCs w:val="24"/>
        </w:rPr>
        <w:t>qualified</w:t>
      </w:r>
      <w:r>
        <w:rPr>
          <w:rFonts w:ascii="Cambria" w:hAnsi="Cambria"/>
          <w:spacing w:val="-10"/>
          <w:sz w:val="24"/>
          <w:szCs w:val="24"/>
        </w:rPr>
        <w:t xml:space="preserve"> </w:t>
      </w:r>
      <w:r>
        <w:rPr>
          <w:rFonts w:ascii="Cambria" w:hAnsi="Cambria"/>
          <w:sz w:val="24"/>
          <w:szCs w:val="24"/>
        </w:rPr>
        <w:lastRenderedPageBreak/>
        <w:t>custodian’s</w:t>
      </w:r>
      <w:r>
        <w:rPr>
          <w:rFonts w:ascii="Cambria" w:hAnsi="Cambria"/>
          <w:spacing w:val="-12"/>
          <w:sz w:val="24"/>
          <w:szCs w:val="24"/>
        </w:rPr>
        <w:t xml:space="preserve"> </w:t>
      </w:r>
      <w:r>
        <w:rPr>
          <w:rFonts w:ascii="Cambria" w:hAnsi="Cambria"/>
          <w:sz w:val="24"/>
          <w:szCs w:val="24"/>
        </w:rPr>
        <w:t>form or separately, to direct transfers to the third party either on a specified schedule or from time to</w:t>
      </w:r>
      <w:r>
        <w:rPr>
          <w:rFonts w:ascii="Cambria" w:hAnsi="Cambria"/>
          <w:spacing w:val="-2"/>
          <w:sz w:val="24"/>
          <w:szCs w:val="24"/>
        </w:rPr>
        <w:t xml:space="preserve"> </w:t>
      </w:r>
      <w:r>
        <w:rPr>
          <w:rFonts w:ascii="Cambria" w:hAnsi="Cambria"/>
          <w:sz w:val="24"/>
          <w:szCs w:val="24"/>
        </w:rPr>
        <w:t>time.</w:t>
      </w:r>
    </w:p>
    <w:p w14:paraId="7B7DEF1D" w14:textId="77777777" w:rsidR="00207CBB" w:rsidRDefault="007729F9">
      <w:pPr>
        <w:pStyle w:val="ListParagraph"/>
        <w:numPr>
          <w:ilvl w:val="0"/>
          <w:numId w:val="2"/>
        </w:numPr>
        <w:tabs>
          <w:tab w:val="left" w:pos="841"/>
        </w:tabs>
        <w:spacing w:before="2"/>
        <w:ind w:right="223"/>
        <w:rPr>
          <w:rFonts w:ascii="Cambria" w:hAnsi="Cambria"/>
          <w:sz w:val="24"/>
          <w:szCs w:val="24"/>
        </w:rPr>
      </w:pPr>
      <w:r>
        <w:rPr>
          <w:rFonts w:ascii="Cambria" w:hAnsi="Cambria"/>
          <w:sz w:val="24"/>
          <w:szCs w:val="24"/>
        </w:rPr>
        <w:t>The client’s qualified custodian performs appropriate verification of the instruction, such as a signature</w:t>
      </w:r>
      <w:r>
        <w:rPr>
          <w:rFonts w:ascii="Cambria" w:hAnsi="Cambria"/>
          <w:spacing w:val="-6"/>
          <w:sz w:val="24"/>
          <w:szCs w:val="24"/>
        </w:rPr>
        <w:t xml:space="preserve"> </w:t>
      </w:r>
      <w:r>
        <w:rPr>
          <w:rFonts w:ascii="Cambria" w:hAnsi="Cambria"/>
          <w:sz w:val="24"/>
          <w:szCs w:val="24"/>
        </w:rPr>
        <w:t>review</w:t>
      </w:r>
      <w:r>
        <w:rPr>
          <w:rFonts w:ascii="Cambria" w:hAnsi="Cambria"/>
          <w:spacing w:val="-5"/>
          <w:sz w:val="24"/>
          <w:szCs w:val="24"/>
        </w:rPr>
        <w:t xml:space="preserve"> </w:t>
      </w:r>
      <w:r>
        <w:rPr>
          <w:rFonts w:ascii="Cambria" w:hAnsi="Cambria"/>
          <w:sz w:val="24"/>
          <w:szCs w:val="24"/>
        </w:rPr>
        <w:t>or</w:t>
      </w:r>
      <w:r>
        <w:rPr>
          <w:rFonts w:ascii="Cambria" w:hAnsi="Cambria"/>
          <w:spacing w:val="-4"/>
          <w:sz w:val="24"/>
          <w:szCs w:val="24"/>
        </w:rPr>
        <w:t xml:space="preserve"> </w:t>
      </w:r>
      <w:r>
        <w:rPr>
          <w:rFonts w:ascii="Cambria" w:hAnsi="Cambria"/>
          <w:sz w:val="24"/>
          <w:szCs w:val="24"/>
        </w:rPr>
        <w:t>other</w:t>
      </w:r>
      <w:r>
        <w:rPr>
          <w:rFonts w:ascii="Cambria" w:hAnsi="Cambria"/>
          <w:spacing w:val="-3"/>
          <w:sz w:val="24"/>
          <w:szCs w:val="24"/>
        </w:rPr>
        <w:t xml:space="preserve"> </w:t>
      </w:r>
      <w:r>
        <w:rPr>
          <w:rFonts w:ascii="Cambria" w:hAnsi="Cambria"/>
          <w:sz w:val="24"/>
          <w:szCs w:val="24"/>
        </w:rPr>
        <w:t>method</w:t>
      </w:r>
      <w:r>
        <w:rPr>
          <w:rFonts w:ascii="Cambria" w:hAnsi="Cambria"/>
          <w:spacing w:val="-7"/>
          <w:sz w:val="24"/>
          <w:szCs w:val="24"/>
        </w:rPr>
        <w:t xml:space="preserve"> </w:t>
      </w:r>
      <w:r>
        <w:rPr>
          <w:rFonts w:ascii="Cambria" w:hAnsi="Cambria"/>
          <w:sz w:val="24"/>
          <w:szCs w:val="24"/>
        </w:rPr>
        <w:t>to</w:t>
      </w:r>
      <w:r>
        <w:rPr>
          <w:rFonts w:ascii="Cambria" w:hAnsi="Cambria"/>
          <w:spacing w:val="-4"/>
          <w:sz w:val="24"/>
          <w:szCs w:val="24"/>
        </w:rPr>
        <w:t xml:space="preserve"> </w:t>
      </w:r>
      <w:r>
        <w:rPr>
          <w:rFonts w:ascii="Cambria" w:hAnsi="Cambria"/>
          <w:sz w:val="24"/>
          <w:szCs w:val="24"/>
        </w:rPr>
        <w:t>verify</w:t>
      </w:r>
      <w:r>
        <w:rPr>
          <w:rFonts w:ascii="Cambria" w:hAnsi="Cambria"/>
          <w:spacing w:val="-4"/>
          <w:sz w:val="24"/>
          <w:szCs w:val="24"/>
        </w:rPr>
        <w:t xml:space="preserve"> </w:t>
      </w:r>
      <w:r>
        <w:rPr>
          <w:rFonts w:ascii="Cambria" w:hAnsi="Cambria"/>
          <w:sz w:val="24"/>
          <w:szCs w:val="24"/>
        </w:rPr>
        <w:t>the</w:t>
      </w:r>
      <w:r>
        <w:rPr>
          <w:rFonts w:ascii="Cambria" w:hAnsi="Cambria"/>
          <w:spacing w:val="-5"/>
          <w:sz w:val="24"/>
          <w:szCs w:val="24"/>
        </w:rPr>
        <w:t xml:space="preserve"> </w:t>
      </w:r>
      <w:r>
        <w:rPr>
          <w:rFonts w:ascii="Cambria" w:hAnsi="Cambria"/>
          <w:sz w:val="24"/>
          <w:szCs w:val="24"/>
        </w:rPr>
        <w:t>client’s</w:t>
      </w:r>
      <w:r>
        <w:rPr>
          <w:rFonts w:ascii="Cambria" w:hAnsi="Cambria"/>
          <w:spacing w:val="-2"/>
          <w:sz w:val="24"/>
          <w:szCs w:val="24"/>
        </w:rPr>
        <w:t xml:space="preserve"> </w:t>
      </w:r>
      <w:r>
        <w:rPr>
          <w:rFonts w:ascii="Cambria" w:hAnsi="Cambria"/>
          <w:sz w:val="24"/>
          <w:szCs w:val="24"/>
        </w:rPr>
        <w:t>authorization,</w:t>
      </w:r>
      <w:r>
        <w:rPr>
          <w:rFonts w:ascii="Cambria" w:hAnsi="Cambria"/>
          <w:spacing w:val="-4"/>
          <w:sz w:val="24"/>
          <w:szCs w:val="24"/>
        </w:rPr>
        <w:t xml:space="preserve"> </w:t>
      </w:r>
      <w:r>
        <w:rPr>
          <w:rFonts w:ascii="Cambria" w:hAnsi="Cambria"/>
          <w:spacing w:val="-3"/>
          <w:sz w:val="24"/>
          <w:szCs w:val="24"/>
        </w:rPr>
        <w:t>and</w:t>
      </w:r>
      <w:r>
        <w:rPr>
          <w:rFonts w:ascii="Cambria" w:hAnsi="Cambria"/>
          <w:spacing w:val="-7"/>
          <w:sz w:val="24"/>
          <w:szCs w:val="24"/>
        </w:rPr>
        <w:t xml:space="preserve"> </w:t>
      </w:r>
      <w:r>
        <w:rPr>
          <w:rFonts w:ascii="Cambria" w:hAnsi="Cambria"/>
          <w:sz w:val="24"/>
          <w:szCs w:val="24"/>
        </w:rPr>
        <w:t>provides</w:t>
      </w:r>
      <w:r>
        <w:rPr>
          <w:rFonts w:ascii="Cambria" w:hAnsi="Cambria"/>
          <w:spacing w:val="-6"/>
          <w:sz w:val="24"/>
          <w:szCs w:val="24"/>
        </w:rPr>
        <w:t xml:space="preserve"> </w:t>
      </w:r>
      <w:r>
        <w:rPr>
          <w:rFonts w:ascii="Cambria" w:hAnsi="Cambria"/>
          <w:sz w:val="24"/>
          <w:szCs w:val="24"/>
        </w:rPr>
        <w:t>a</w:t>
      </w:r>
      <w:r>
        <w:rPr>
          <w:rFonts w:ascii="Cambria" w:hAnsi="Cambria"/>
          <w:spacing w:val="-6"/>
          <w:sz w:val="24"/>
          <w:szCs w:val="24"/>
        </w:rPr>
        <w:t xml:space="preserve"> </w:t>
      </w:r>
      <w:r>
        <w:rPr>
          <w:rFonts w:ascii="Cambria" w:hAnsi="Cambria"/>
          <w:sz w:val="24"/>
          <w:szCs w:val="24"/>
        </w:rPr>
        <w:t>transfer</w:t>
      </w:r>
      <w:r>
        <w:rPr>
          <w:rFonts w:ascii="Cambria" w:hAnsi="Cambria"/>
          <w:spacing w:val="-3"/>
          <w:sz w:val="24"/>
          <w:szCs w:val="24"/>
        </w:rPr>
        <w:t xml:space="preserve"> </w:t>
      </w:r>
      <w:r>
        <w:rPr>
          <w:rFonts w:ascii="Cambria" w:hAnsi="Cambria"/>
          <w:sz w:val="24"/>
          <w:szCs w:val="24"/>
        </w:rPr>
        <w:t>of funds notice to the client promptly after each</w:t>
      </w:r>
      <w:r>
        <w:rPr>
          <w:rFonts w:ascii="Cambria" w:hAnsi="Cambria"/>
          <w:spacing w:val="-11"/>
          <w:sz w:val="24"/>
          <w:szCs w:val="24"/>
        </w:rPr>
        <w:t xml:space="preserve"> </w:t>
      </w:r>
      <w:r>
        <w:rPr>
          <w:rFonts w:ascii="Cambria" w:hAnsi="Cambria"/>
          <w:sz w:val="24"/>
          <w:szCs w:val="24"/>
        </w:rPr>
        <w:t>transfer.</w:t>
      </w:r>
    </w:p>
    <w:p w14:paraId="294B2CDD" w14:textId="77777777" w:rsidR="00207CBB" w:rsidRDefault="007729F9">
      <w:pPr>
        <w:pStyle w:val="ListParagraph"/>
        <w:numPr>
          <w:ilvl w:val="0"/>
          <w:numId w:val="2"/>
        </w:numPr>
        <w:tabs>
          <w:tab w:val="left" w:pos="841"/>
        </w:tabs>
        <w:spacing w:before="1"/>
        <w:ind w:right="223"/>
        <w:rPr>
          <w:rFonts w:ascii="Cambria" w:hAnsi="Cambria"/>
          <w:sz w:val="24"/>
          <w:szCs w:val="24"/>
        </w:rPr>
      </w:pPr>
      <w:r>
        <w:rPr>
          <w:rFonts w:ascii="Cambria" w:hAnsi="Cambria"/>
          <w:sz w:val="24"/>
          <w:szCs w:val="24"/>
        </w:rPr>
        <w:t>The client has the ability to terminate or change the instruction to the client’s qualified custodian.</w:t>
      </w:r>
    </w:p>
    <w:p w14:paraId="4404E18B" w14:textId="77777777" w:rsidR="00207CBB" w:rsidRDefault="007729F9">
      <w:pPr>
        <w:pStyle w:val="ListParagraph"/>
        <w:numPr>
          <w:ilvl w:val="0"/>
          <w:numId w:val="2"/>
        </w:numPr>
        <w:tabs>
          <w:tab w:val="left" w:pos="841"/>
        </w:tabs>
        <w:ind w:right="227"/>
        <w:rPr>
          <w:rFonts w:ascii="Cambria" w:hAnsi="Cambria"/>
          <w:sz w:val="24"/>
          <w:szCs w:val="24"/>
        </w:rPr>
      </w:pPr>
      <w:r>
        <w:rPr>
          <w:rFonts w:ascii="Cambria" w:hAnsi="Cambria"/>
          <w:sz w:val="24"/>
          <w:szCs w:val="24"/>
        </w:rPr>
        <w:t>The investment adviser has no authority or ability to designate or change the identity of the third</w:t>
      </w:r>
      <w:r>
        <w:rPr>
          <w:rFonts w:ascii="Cambria" w:hAnsi="Cambria"/>
          <w:spacing w:val="-6"/>
          <w:sz w:val="24"/>
          <w:szCs w:val="24"/>
        </w:rPr>
        <w:t xml:space="preserve"> </w:t>
      </w:r>
      <w:r>
        <w:rPr>
          <w:rFonts w:ascii="Cambria" w:hAnsi="Cambria"/>
          <w:sz w:val="24"/>
          <w:szCs w:val="24"/>
        </w:rPr>
        <w:t>party,</w:t>
      </w:r>
      <w:r>
        <w:rPr>
          <w:rFonts w:ascii="Cambria" w:hAnsi="Cambria"/>
          <w:spacing w:val="-9"/>
          <w:sz w:val="24"/>
          <w:szCs w:val="24"/>
        </w:rPr>
        <w:t xml:space="preserve"> </w:t>
      </w:r>
      <w:r>
        <w:rPr>
          <w:rFonts w:ascii="Cambria" w:hAnsi="Cambria"/>
          <w:sz w:val="24"/>
          <w:szCs w:val="24"/>
        </w:rPr>
        <w:t>the</w:t>
      </w:r>
      <w:r>
        <w:rPr>
          <w:rFonts w:ascii="Cambria" w:hAnsi="Cambria"/>
          <w:spacing w:val="-9"/>
          <w:sz w:val="24"/>
          <w:szCs w:val="24"/>
        </w:rPr>
        <w:t xml:space="preserve"> </w:t>
      </w:r>
      <w:r>
        <w:rPr>
          <w:rFonts w:ascii="Cambria" w:hAnsi="Cambria"/>
          <w:sz w:val="24"/>
          <w:szCs w:val="24"/>
        </w:rPr>
        <w:t>address,</w:t>
      </w:r>
      <w:r>
        <w:rPr>
          <w:rFonts w:ascii="Cambria" w:hAnsi="Cambria"/>
          <w:spacing w:val="-9"/>
          <w:sz w:val="24"/>
          <w:szCs w:val="24"/>
        </w:rPr>
        <w:t xml:space="preserve"> </w:t>
      </w:r>
      <w:r>
        <w:rPr>
          <w:rFonts w:ascii="Cambria" w:hAnsi="Cambria"/>
          <w:sz w:val="24"/>
          <w:szCs w:val="24"/>
        </w:rPr>
        <w:t>or</w:t>
      </w:r>
      <w:r>
        <w:rPr>
          <w:rFonts w:ascii="Cambria" w:hAnsi="Cambria"/>
          <w:spacing w:val="-7"/>
          <w:sz w:val="24"/>
          <w:szCs w:val="24"/>
        </w:rPr>
        <w:t xml:space="preserve"> </w:t>
      </w:r>
      <w:r>
        <w:rPr>
          <w:rFonts w:ascii="Cambria" w:hAnsi="Cambria"/>
          <w:sz w:val="24"/>
          <w:szCs w:val="24"/>
        </w:rPr>
        <w:t>any</w:t>
      </w:r>
      <w:r>
        <w:rPr>
          <w:rFonts w:ascii="Cambria" w:hAnsi="Cambria"/>
          <w:spacing w:val="-2"/>
          <w:sz w:val="24"/>
          <w:szCs w:val="24"/>
        </w:rPr>
        <w:t xml:space="preserve"> </w:t>
      </w:r>
      <w:r>
        <w:rPr>
          <w:rFonts w:ascii="Cambria" w:hAnsi="Cambria"/>
          <w:sz w:val="24"/>
          <w:szCs w:val="24"/>
        </w:rPr>
        <w:t>other</w:t>
      </w:r>
      <w:r>
        <w:rPr>
          <w:rFonts w:ascii="Cambria" w:hAnsi="Cambria"/>
          <w:spacing w:val="-7"/>
          <w:sz w:val="24"/>
          <w:szCs w:val="24"/>
        </w:rPr>
        <w:t xml:space="preserve"> </w:t>
      </w:r>
      <w:r>
        <w:rPr>
          <w:rFonts w:ascii="Cambria" w:hAnsi="Cambria"/>
          <w:sz w:val="24"/>
          <w:szCs w:val="24"/>
        </w:rPr>
        <w:t>information</w:t>
      </w:r>
      <w:r>
        <w:rPr>
          <w:rFonts w:ascii="Cambria" w:hAnsi="Cambria"/>
          <w:spacing w:val="-5"/>
          <w:sz w:val="24"/>
          <w:szCs w:val="24"/>
        </w:rPr>
        <w:t xml:space="preserve"> </w:t>
      </w:r>
      <w:r>
        <w:rPr>
          <w:rFonts w:ascii="Cambria" w:hAnsi="Cambria"/>
          <w:sz w:val="24"/>
          <w:szCs w:val="24"/>
        </w:rPr>
        <w:t>about</w:t>
      </w:r>
      <w:r>
        <w:rPr>
          <w:rFonts w:ascii="Cambria" w:hAnsi="Cambria"/>
          <w:spacing w:val="-5"/>
          <w:sz w:val="24"/>
          <w:szCs w:val="24"/>
        </w:rPr>
        <w:t xml:space="preserve"> </w:t>
      </w:r>
      <w:r>
        <w:rPr>
          <w:rFonts w:ascii="Cambria" w:hAnsi="Cambria"/>
          <w:sz w:val="24"/>
          <w:szCs w:val="24"/>
        </w:rPr>
        <w:t>the</w:t>
      </w:r>
      <w:r>
        <w:rPr>
          <w:rFonts w:ascii="Cambria" w:hAnsi="Cambria"/>
          <w:spacing w:val="-9"/>
          <w:sz w:val="24"/>
          <w:szCs w:val="24"/>
        </w:rPr>
        <w:t xml:space="preserve"> </w:t>
      </w:r>
      <w:r>
        <w:rPr>
          <w:rFonts w:ascii="Cambria" w:hAnsi="Cambria"/>
          <w:sz w:val="24"/>
          <w:szCs w:val="24"/>
        </w:rPr>
        <w:t>third</w:t>
      </w:r>
      <w:r>
        <w:rPr>
          <w:rFonts w:ascii="Cambria" w:hAnsi="Cambria"/>
          <w:spacing w:val="-5"/>
          <w:sz w:val="24"/>
          <w:szCs w:val="24"/>
        </w:rPr>
        <w:t xml:space="preserve"> </w:t>
      </w:r>
      <w:r>
        <w:rPr>
          <w:rFonts w:ascii="Cambria" w:hAnsi="Cambria"/>
          <w:sz w:val="24"/>
          <w:szCs w:val="24"/>
        </w:rPr>
        <w:t>party</w:t>
      </w:r>
      <w:r>
        <w:rPr>
          <w:rFonts w:ascii="Cambria" w:hAnsi="Cambria"/>
          <w:spacing w:val="-8"/>
          <w:sz w:val="24"/>
          <w:szCs w:val="24"/>
        </w:rPr>
        <w:t xml:space="preserve"> </w:t>
      </w:r>
      <w:r>
        <w:rPr>
          <w:rFonts w:ascii="Cambria" w:hAnsi="Cambria"/>
          <w:sz w:val="24"/>
          <w:szCs w:val="24"/>
        </w:rPr>
        <w:t>contained</w:t>
      </w:r>
      <w:r>
        <w:rPr>
          <w:rFonts w:ascii="Cambria" w:hAnsi="Cambria"/>
          <w:spacing w:val="-5"/>
          <w:sz w:val="24"/>
          <w:szCs w:val="24"/>
        </w:rPr>
        <w:t xml:space="preserve"> </w:t>
      </w:r>
      <w:r>
        <w:rPr>
          <w:rFonts w:ascii="Cambria" w:hAnsi="Cambria"/>
          <w:sz w:val="24"/>
          <w:szCs w:val="24"/>
        </w:rPr>
        <w:t>in</w:t>
      </w:r>
      <w:r>
        <w:rPr>
          <w:rFonts w:ascii="Cambria" w:hAnsi="Cambria"/>
          <w:spacing w:val="-5"/>
          <w:sz w:val="24"/>
          <w:szCs w:val="24"/>
        </w:rPr>
        <w:t xml:space="preserve"> </w:t>
      </w:r>
      <w:r>
        <w:rPr>
          <w:rFonts w:ascii="Cambria" w:hAnsi="Cambria"/>
          <w:sz w:val="24"/>
          <w:szCs w:val="24"/>
        </w:rPr>
        <w:t>the</w:t>
      </w:r>
      <w:r>
        <w:rPr>
          <w:rFonts w:ascii="Cambria" w:hAnsi="Cambria"/>
          <w:spacing w:val="-9"/>
          <w:sz w:val="24"/>
          <w:szCs w:val="24"/>
        </w:rPr>
        <w:t xml:space="preserve"> </w:t>
      </w:r>
      <w:r>
        <w:rPr>
          <w:rFonts w:ascii="Cambria" w:hAnsi="Cambria"/>
          <w:sz w:val="24"/>
          <w:szCs w:val="24"/>
        </w:rPr>
        <w:t>client’s instruction.</w:t>
      </w:r>
    </w:p>
    <w:p w14:paraId="0A4D6160" w14:textId="77777777" w:rsidR="00207CBB" w:rsidRDefault="00207CBB">
      <w:pPr>
        <w:rPr>
          <w:rFonts w:ascii="Cambria" w:hAnsi="Cambria"/>
          <w:sz w:val="24"/>
          <w:szCs w:val="24"/>
        </w:rPr>
      </w:pPr>
    </w:p>
    <w:p w14:paraId="559D451D" w14:textId="77777777" w:rsidR="00207CBB" w:rsidRDefault="007729F9">
      <w:pPr>
        <w:pStyle w:val="ListParagraph"/>
        <w:numPr>
          <w:ilvl w:val="0"/>
          <w:numId w:val="2"/>
        </w:numPr>
        <w:tabs>
          <w:tab w:val="left" w:pos="841"/>
        </w:tabs>
        <w:spacing w:before="2"/>
        <w:ind w:right="225"/>
        <w:rPr>
          <w:rFonts w:ascii="Cambria" w:hAnsi="Cambria"/>
          <w:sz w:val="24"/>
          <w:szCs w:val="24"/>
        </w:rPr>
      </w:pPr>
      <w:r>
        <w:rPr>
          <w:rFonts w:ascii="Cambria" w:hAnsi="Cambria"/>
          <w:sz w:val="24"/>
          <w:szCs w:val="24"/>
        </w:rPr>
        <w:t>The</w:t>
      </w:r>
      <w:r>
        <w:rPr>
          <w:rFonts w:ascii="Cambria" w:hAnsi="Cambria"/>
          <w:spacing w:val="-5"/>
          <w:sz w:val="24"/>
          <w:szCs w:val="24"/>
        </w:rPr>
        <w:t xml:space="preserve"> </w:t>
      </w:r>
      <w:r>
        <w:rPr>
          <w:rFonts w:ascii="Cambria" w:hAnsi="Cambria"/>
          <w:sz w:val="24"/>
          <w:szCs w:val="24"/>
        </w:rPr>
        <w:t>investment</w:t>
      </w:r>
      <w:r>
        <w:rPr>
          <w:rFonts w:ascii="Cambria" w:hAnsi="Cambria"/>
          <w:spacing w:val="-1"/>
          <w:sz w:val="24"/>
          <w:szCs w:val="24"/>
        </w:rPr>
        <w:t xml:space="preserve"> </w:t>
      </w:r>
      <w:r>
        <w:rPr>
          <w:rFonts w:ascii="Cambria" w:hAnsi="Cambria"/>
          <w:sz w:val="24"/>
          <w:szCs w:val="24"/>
        </w:rPr>
        <w:t>adviser</w:t>
      </w:r>
      <w:r>
        <w:rPr>
          <w:rFonts w:ascii="Cambria" w:hAnsi="Cambria"/>
          <w:spacing w:val="-3"/>
          <w:sz w:val="24"/>
          <w:szCs w:val="24"/>
        </w:rPr>
        <w:t xml:space="preserve"> </w:t>
      </w:r>
      <w:r>
        <w:rPr>
          <w:rFonts w:ascii="Cambria" w:hAnsi="Cambria"/>
          <w:sz w:val="24"/>
          <w:szCs w:val="24"/>
        </w:rPr>
        <w:t>maintains</w:t>
      </w:r>
      <w:r>
        <w:rPr>
          <w:rFonts w:ascii="Cambria" w:hAnsi="Cambria"/>
          <w:spacing w:val="-1"/>
          <w:sz w:val="24"/>
          <w:szCs w:val="24"/>
        </w:rPr>
        <w:t xml:space="preserve"> </w:t>
      </w:r>
      <w:r>
        <w:rPr>
          <w:rFonts w:ascii="Cambria" w:hAnsi="Cambria"/>
          <w:sz w:val="24"/>
          <w:szCs w:val="24"/>
        </w:rPr>
        <w:t>records</w:t>
      </w:r>
      <w:r>
        <w:rPr>
          <w:rFonts w:ascii="Cambria" w:hAnsi="Cambria"/>
          <w:spacing w:val="-1"/>
          <w:sz w:val="24"/>
          <w:szCs w:val="24"/>
        </w:rPr>
        <w:t xml:space="preserve"> </w:t>
      </w:r>
      <w:r>
        <w:rPr>
          <w:rFonts w:ascii="Cambria" w:hAnsi="Cambria"/>
          <w:sz w:val="24"/>
          <w:szCs w:val="24"/>
        </w:rPr>
        <w:t>showing</w:t>
      </w:r>
      <w:r>
        <w:rPr>
          <w:rFonts w:ascii="Cambria" w:hAnsi="Cambria"/>
          <w:spacing w:val="-7"/>
          <w:sz w:val="24"/>
          <w:szCs w:val="24"/>
        </w:rPr>
        <w:t xml:space="preserve"> </w:t>
      </w:r>
      <w:r>
        <w:rPr>
          <w:rFonts w:ascii="Cambria" w:hAnsi="Cambria"/>
          <w:sz w:val="24"/>
          <w:szCs w:val="24"/>
        </w:rPr>
        <w:t>that the</w:t>
      </w:r>
      <w:r>
        <w:rPr>
          <w:rFonts w:ascii="Cambria" w:hAnsi="Cambria"/>
          <w:spacing w:val="-5"/>
          <w:sz w:val="24"/>
          <w:szCs w:val="24"/>
        </w:rPr>
        <w:t xml:space="preserve"> </w:t>
      </w:r>
      <w:r>
        <w:rPr>
          <w:rFonts w:ascii="Cambria" w:hAnsi="Cambria"/>
          <w:sz w:val="24"/>
          <w:szCs w:val="24"/>
        </w:rPr>
        <w:t>third</w:t>
      </w:r>
      <w:r>
        <w:rPr>
          <w:rFonts w:ascii="Cambria" w:hAnsi="Cambria"/>
          <w:spacing w:val="-6"/>
          <w:sz w:val="24"/>
          <w:szCs w:val="24"/>
        </w:rPr>
        <w:t xml:space="preserve"> </w:t>
      </w:r>
      <w:r>
        <w:rPr>
          <w:rFonts w:ascii="Cambria" w:hAnsi="Cambria"/>
          <w:sz w:val="24"/>
          <w:szCs w:val="24"/>
        </w:rPr>
        <w:t>party</w:t>
      </w:r>
      <w:r>
        <w:rPr>
          <w:rFonts w:ascii="Cambria" w:hAnsi="Cambria"/>
          <w:spacing w:val="-3"/>
          <w:sz w:val="24"/>
          <w:szCs w:val="24"/>
        </w:rPr>
        <w:t xml:space="preserve"> </w:t>
      </w:r>
      <w:r>
        <w:rPr>
          <w:rFonts w:ascii="Cambria" w:hAnsi="Cambria"/>
          <w:sz w:val="24"/>
          <w:szCs w:val="24"/>
        </w:rPr>
        <w:t>is</w:t>
      </w:r>
      <w:r>
        <w:rPr>
          <w:rFonts w:ascii="Cambria" w:hAnsi="Cambria"/>
          <w:spacing w:val="-6"/>
          <w:sz w:val="24"/>
          <w:szCs w:val="24"/>
        </w:rPr>
        <w:t xml:space="preserve"> </w:t>
      </w:r>
      <w:r>
        <w:rPr>
          <w:rFonts w:ascii="Cambria" w:hAnsi="Cambria"/>
          <w:sz w:val="24"/>
          <w:szCs w:val="24"/>
        </w:rPr>
        <w:t>not a</w:t>
      </w:r>
      <w:r>
        <w:rPr>
          <w:rFonts w:ascii="Cambria" w:hAnsi="Cambria"/>
          <w:spacing w:val="-5"/>
          <w:sz w:val="24"/>
          <w:szCs w:val="24"/>
        </w:rPr>
        <w:t xml:space="preserve"> </w:t>
      </w:r>
      <w:r>
        <w:rPr>
          <w:rFonts w:ascii="Cambria" w:hAnsi="Cambria"/>
          <w:sz w:val="24"/>
          <w:szCs w:val="24"/>
        </w:rPr>
        <w:t>related party</w:t>
      </w:r>
      <w:r>
        <w:rPr>
          <w:rFonts w:ascii="Cambria" w:hAnsi="Cambria"/>
          <w:spacing w:val="-3"/>
          <w:sz w:val="24"/>
          <w:szCs w:val="24"/>
        </w:rPr>
        <w:t xml:space="preserve"> </w:t>
      </w:r>
      <w:r>
        <w:rPr>
          <w:rFonts w:ascii="Cambria" w:hAnsi="Cambria"/>
          <w:sz w:val="24"/>
          <w:szCs w:val="24"/>
        </w:rPr>
        <w:t>of the investment adviser or located at the same address as the investment</w:t>
      </w:r>
      <w:r>
        <w:rPr>
          <w:rFonts w:ascii="Cambria" w:hAnsi="Cambria"/>
          <w:spacing w:val="-11"/>
          <w:sz w:val="24"/>
          <w:szCs w:val="24"/>
        </w:rPr>
        <w:t xml:space="preserve"> </w:t>
      </w:r>
    </w:p>
    <w:p w14:paraId="0D714DF1" w14:textId="77777777" w:rsidR="00207CBB" w:rsidRDefault="007729F9">
      <w:pPr>
        <w:pStyle w:val="ListParagraph"/>
        <w:tabs>
          <w:tab w:val="left" w:pos="841"/>
        </w:tabs>
        <w:spacing w:before="2"/>
        <w:ind w:right="225" w:firstLine="0"/>
        <w:rPr>
          <w:rFonts w:ascii="Cambria" w:hAnsi="Cambria"/>
          <w:sz w:val="24"/>
          <w:szCs w:val="24"/>
        </w:rPr>
      </w:pPr>
      <w:r>
        <w:rPr>
          <w:rFonts w:ascii="Cambria" w:hAnsi="Cambria"/>
          <w:sz w:val="24"/>
          <w:szCs w:val="24"/>
        </w:rPr>
        <w:t>adviser.</w:t>
      </w:r>
    </w:p>
    <w:p w14:paraId="4EC7D950" w14:textId="77777777" w:rsidR="00207CBB" w:rsidRDefault="00207CBB">
      <w:pPr>
        <w:rPr>
          <w:rFonts w:ascii="Cambria" w:eastAsia="Times New Roman" w:hAnsi="Cambria" w:cs="Times New Roman"/>
          <w:sz w:val="24"/>
          <w:szCs w:val="24"/>
        </w:rPr>
      </w:pPr>
    </w:p>
    <w:p w14:paraId="63E8A5D5" w14:textId="77777777" w:rsidR="00207CBB" w:rsidRDefault="007729F9">
      <w:pPr>
        <w:pStyle w:val="ListParagraph"/>
        <w:numPr>
          <w:ilvl w:val="0"/>
          <w:numId w:val="2"/>
        </w:numPr>
        <w:tabs>
          <w:tab w:val="left" w:pos="841"/>
        </w:tabs>
        <w:ind w:right="216"/>
        <w:rPr>
          <w:rFonts w:ascii="Cambria" w:hAnsi="Cambria"/>
          <w:sz w:val="24"/>
          <w:szCs w:val="24"/>
        </w:rPr>
      </w:pPr>
      <w:r>
        <w:rPr>
          <w:rFonts w:ascii="Cambria" w:hAnsi="Cambria"/>
          <w:sz w:val="24"/>
          <w:szCs w:val="24"/>
        </w:rPr>
        <w:t xml:space="preserve">The client’s qualified custodian sends the client, </w:t>
      </w:r>
      <w:r>
        <w:rPr>
          <w:rFonts w:ascii="Cambria" w:hAnsi="Cambria"/>
          <w:spacing w:val="2"/>
          <w:sz w:val="24"/>
          <w:szCs w:val="24"/>
        </w:rPr>
        <w:t xml:space="preserve">in </w:t>
      </w:r>
      <w:r>
        <w:rPr>
          <w:rFonts w:ascii="Cambria" w:hAnsi="Cambria"/>
          <w:sz w:val="24"/>
          <w:szCs w:val="24"/>
        </w:rPr>
        <w:t>writing, an initial notice confirming the instruction and an annual notice reconfirming the</w:t>
      </w:r>
      <w:r>
        <w:rPr>
          <w:rFonts w:ascii="Cambria" w:hAnsi="Cambria"/>
          <w:spacing w:val="-7"/>
          <w:sz w:val="24"/>
          <w:szCs w:val="24"/>
        </w:rPr>
        <w:t xml:space="preserve"> </w:t>
      </w:r>
      <w:r>
        <w:rPr>
          <w:rFonts w:ascii="Cambria" w:hAnsi="Cambria"/>
          <w:sz w:val="24"/>
          <w:szCs w:val="24"/>
        </w:rPr>
        <w:t>instruction.</w:t>
      </w:r>
    </w:p>
    <w:p w14:paraId="5BF2F4A9" w14:textId="77777777" w:rsidR="00E413B6" w:rsidRDefault="00E413B6" w:rsidP="00E413B6">
      <w:pPr>
        <w:tabs>
          <w:tab w:val="left" w:pos="841"/>
        </w:tabs>
        <w:ind w:right="216"/>
        <w:rPr>
          <w:rFonts w:ascii="Cambria" w:hAnsi="Cambria"/>
          <w:sz w:val="24"/>
          <w:szCs w:val="24"/>
        </w:rPr>
      </w:pPr>
    </w:p>
    <w:p w14:paraId="66EB9A46" w14:textId="77777777" w:rsidR="000F39BD" w:rsidRPr="000F39BD" w:rsidRDefault="000F39BD" w:rsidP="000F39BD">
      <w:pPr>
        <w:pStyle w:val="BodyText"/>
        <w:ind w:left="230" w:right="342"/>
        <w:rPr>
          <w:rFonts w:asciiTheme="majorHAnsi" w:hAnsiTheme="majorHAnsi"/>
          <w:b/>
          <w:bCs/>
          <w:u w:val="single"/>
        </w:rPr>
      </w:pPr>
      <w:r w:rsidRPr="000F39BD">
        <w:rPr>
          <w:rFonts w:asciiTheme="majorHAnsi" w:hAnsiTheme="majorHAnsi"/>
          <w:b/>
          <w:bCs/>
          <w:u w:val="single"/>
        </w:rPr>
        <w:t>Trustee for Client Accounts:</w:t>
      </w:r>
    </w:p>
    <w:p w14:paraId="778A6836" w14:textId="77777777" w:rsidR="000F39BD" w:rsidRPr="000F39BD" w:rsidRDefault="000F39BD" w:rsidP="000F39BD">
      <w:pPr>
        <w:pStyle w:val="BodyText"/>
        <w:ind w:left="230" w:right="342"/>
        <w:rPr>
          <w:rFonts w:asciiTheme="majorHAnsi" w:hAnsiTheme="majorHAnsi"/>
        </w:rPr>
      </w:pPr>
    </w:p>
    <w:p w14:paraId="13CCD854" w14:textId="77777777" w:rsidR="000F39BD" w:rsidRPr="000F39BD" w:rsidRDefault="000F39BD" w:rsidP="000F39BD">
      <w:pPr>
        <w:pStyle w:val="BodyText"/>
        <w:ind w:left="230" w:right="342"/>
        <w:rPr>
          <w:rFonts w:asciiTheme="majorHAnsi" w:hAnsiTheme="majorHAnsi"/>
        </w:rPr>
      </w:pPr>
      <w:proofErr w:type="gramStart"/>
      <w:r w:rsidRPr="000F39BD">
        <w:rPr>
          <w:rFonts w:asciiTheme="majorHAnsi" w:hAnsiTheme="majorHAnsi"/>
        </w:rPr>
        <w:t>Persons</w:t>
      </w:r>
      <w:proofErr w:type="gramEnd"/>
      <w:r w:rsidRPr="000F39BD">
        <w:rPr>
          <w:rFonts w:asciiTheme="majorHAnsi" w:hAnsiTheme="majorHAnsi"/>
        </w:rPr>
        <w:t xml:space="preserve"> associated with our firm may serve as trustees to certain accounts for which we also provide investment advisory services. In all cases, the </w:t>
      </w:r>
      <w:proofErr w:type="gramStart"/>
      <w:r w:rsidRPr="000F39BD">
        <w:rPr>
          <w:rFonts w:asciiTheme="majorHAnsi" w:hAnsiTheme="majorHAnsi"/>
        </w:rPr>
        <w:t>persons</w:t>
      </w:r>
      <w:proofErr w:type="gramEnd"/>
      <w:r w:rsidRPr="000F39BD">
        <w:rPr>
          <w:rFonts w:asciiTheme="majorHAnsi" w:hAnsiTheme="majorHAnsi"/>
        </w:rPr>
        <w:t xml:space="preserve"> associated with our firm have been appointed </w:t>
      </w:r>
      <w:proofErr w:type="gramStart"/>
      <w:r w:rsidRPr="000F39BD">
        <w:rPr>
          <w:rFonts w:asciiTheme="majorHAnsi" w:hAnsiTheme="majorHAnsi"/>
        </w:rPr>
        <w:t>trustee</w:t>
      </w:r>
      <w:proofErr w:type="gramEnd"/>
      <w:r w:rsidRPr="000F39BD">
        <w:rPr>
          <w:rFonts w:asciiTheme="majorHAnsi" w:hAnsiTheme="majorHAnsi"/>
        </w:rPr>
        <w:t xml:space="preserve"> </w:t>
      </w:r>
      <w:proofErr w:type="gramStart"/>
      <w:r w:rsidRPr="000F39BD">
        <w:rPr>
          <w:rFonts w:asciiTheme="majorHAnsi" w:hAnsiTheme="majorHAnsi"/>
        </w:rPr>
        <w:t>as a result of</w:t>
      </w:r>
      <w:proofErr w:type="gramEnd"/>
      <w:r w:rsidRPr="000F39BD">
        <w:rPr>
          <w:rFonts w:asciiTheme="majorHAnsi" w:hAnsiTheme="majorHAnsi"/>
        </w:rPr>
        <w:t xml:space="preserve"> a family or personal relationship with the trust grantor and/or beneficiary and not </w:t>
      </w:r>
      <w:proofErr w:type="gramStart"/>
      <w:r w:rsidRPr="000F39BD">
        <w:rPr>
          <w:rFonts w:asciiTheme="majorHAnsi" w:hAnsiTheme="majorHAnsi"/>
        </w:rPr>
        <w:t>as a result of</w:t>
      </w:r>
      <w:proofErr w:type="gramEnd"/>
      <w:r w:rsidRPr="000F39BD">
        <w:rPr>
          <w:rFonts w:asciiTheme="majorHAnsi" w:hAnsiTheme="majorHAnsi"/>
        </w:rPr>
        <w:t xml:space="preserve"> employment with our firm. Therefore, we are not deemed to have custody over the advisory accounts for which </w:t>
      </w:r>
      <w:proofErr w:type="gramStart"/>
      <w:r w:rsidRPr="000F39BD">
        <w:rPr>
          <w:rFonts w:asciiTheme="majorHAnsi" w:hAnsiTheme="majorHAnsi"/>
        </w:rPr>
        <w:t>persons</w:t>
      </w:r>
      <w:proofErr w:type="gramEnd"/>
      <w:r w:rsidRPr="000F39BD">
        <w:rPr>
          <w:rFonts w:asciiTheme="majorHAnsi" w:hAnsiTheme="majorHAnsi"/>
        </w:rPr>
        <w:t xml:space="preserve"> associated with our firm serve as </w:t>
      </w:r>
      <w:proofErr w:type="gramStart"/>
      <w:r w:rsidRPr="000F39BD">
        <w:rPr>
          <w:rFonts w:asciiTheme="majorHAnsi" w:hAnsiTheme="majorHAnsi"/>
        </w:rPr>
        <w:t>trustee</w:t>
      </w:r>
      <w:proofErr w:type="gramEnd"/>
      <w:r w:rsidRPr="000F39BD">
        <w:rPr>
          <w:rFonts w:asciiTheme="majorHAnsi" w:hAnsiTheme="majorHAnsi"/>
        </w:rPr>
        <w:t>.</w:t>
      </w:r>
    </w:p>
    <w:p w14:paraId="0CFA69D0" w14:textId="77777777" w:rsidR="000F39BD" w:rsidRDefault="000F39BD" w:rsidP="00E413B6">
      <w:pPr>
        <w:ind w:left="119" w:firstLine="111"/>
        <w:rPr>
          <w:rFonts w:ascii="Cambria"/>
          <w:b/>
          <w:sz w:val="24"/>
          <w:szCs w:val="24"/>
          <w:u w:val="single"/>
        </w:rPr>
      </w:pPr>
    </w:p>
    <w:p w14:paraId="595CE04E" w14:textId="77777777" w:rsidR="000F39BD" w:rsidRPr="00326EEE" w:rsidRDefault="000F39BD" w:rsidP="000F39BD">
      <w:pPr>
        <w:ind w:left="119" w:firstLine="111"/>
        <w:rPr>
          <w:rFonts w:ascii="Cambria"/>
          <w:b/>
          <w:sz w:val="24"/>
          <w:szCs w:val="24"/>
          <w:u w:val="single"/>
        </w:rPr>
      </w:pPr>
      <w:r w:rsidRPr="00326EEE">
        <w:rPr>
          <w:rFonts w:ascii="Cambria"/>
          <w:b/>
          <w:sz w:val="24"/>
          <w:szCs w:val="24"/>
          <w:u w:val="single"/>
        </w:rPr>
        <w:t>Client Login Credentials</w:t>
      </w:r>
    </w:p>
    <w:p w14:paraId="5B160286" w14:textId="77777777" w:rsidR="000F39BD" w:rsidRPr="00326EEE" w:rsidRDefault="000F39BD" w:rsidP="000F39BD">
      <w:pPr>
        <w:ind w:left="119" w:firstLine="111"/>
        <w:rPr>
          <w:rFonts w:ascii="Cambria"/>
          <w:bCs/>
          <w:sz w:val="24"/>
          <w:szCs w:val="24"/>
        </w:rPr>
      </w:pPr>
    </w:p>
    <w:p w14:paraId="766BC7FC" w14:textId="77777777" w:rsidR="000F39BD" w:rsidRPr="00326EEE" w:rsidRDefault="000F39BD" w:rsidP="000F39BD">
      <w:pPr>
        <w:ind w:left="230"/>
        <w:rPr>
          <w:rFonts w:ascii="Cambria"/>
          <w:bCs/>
          <w:sz w:val="24"/>
          <w:szCs w:val="24"/>
        </w:rPr>
      </w:pPr>
      <w:r w:rsidRPr="00326EEE">
        <w:rPr>
          <w:rFonts w:ascii="Cambria"/>
          <w:bCs/>
          <w:sz w:val="24"/>
          <w:szCs w:val="24"/>
        </w:rPr>
        <w:t xml:space="preserve">Representatives of our firm may have access to username and password of client accounts and will only be done at a </w:t>
      </w:r>
      <w:proofErr w:type="gramStart"/>
      <w:r w:rsidRPr="00326EEE">
        <w:rPr>
          <w:rFonts w:ascii="Cambria"/>
          <w:bCs/>
          <w:sz w:val="24"/>
          <w:szCs w:val="24"/>
        </w:rPr>
        <w:t>financial institutions</w:t>
      </w:r>
      <w:proofErr w:type="gramEnd"/>
      <w:r w:rsidRPr="00326EEE">
        <w:rPr>
          <w:rFonts w:ascii="Cambria"/>
          <w:bCs/>
          <w:sz w:val="24"/>
          <w:szCs w:val="24"/>
        </w:rPr>
        <w:t xml:space="preserve"> whose policy allows for the sharing of login credentials. As such, our firm is deemed to have custody. The client funds and securities of which our firm has custody are verified by actual examination at least once during each calendar year by an independent public accountant (</w:t>
      </w:r>
      <w:r w:rsidRPr="00326EEE">
        <w:rPr>
          <w:rFonts w:ascii="Cambria"/>
          <w:bCs/>
          <w:sz w:val="24"/>
          <w:szCs w:val="24"/>
        </w:rPr>
        <w:t>“</w:t>
      </w:r>
      <w:r w:rsidRPr="00326EEE">
        <w:rPr>
          <w:rFonts w:ascii="Cambria"/>
          <w:bCs/>
          <w:sz w:val="24"/>
          <w:szCs w:val="24"/>
        </w:rPr>
        <w:t>IPA</w:t>
      </w:r>
      <w:r w:rsidRPr="00326EEE">
        <w:rPr>
          <w:rFonts w:ascii="Cambria"/>
          <w:bCs/>
          <w:sz w:val="24"/>
          <w:szCs w:val="24"/>
        </w:rPr>
        <w:t>”</w:t>
      </w:r>
      <w:r w:rsidRPr="00326EEE">
        <w:rPr>
          <w:rFonts w:ascii="Cambria"/>
          <w:bCs/>
          <w:sz w:val="24"/>
          <w:szCs w:val="24"/>
        </w:rPr>
        <w:t>) registered with the Public Company Accounting Oversight Board (</w:t>
      </w:r>
      <w:r w:rsidRPr="00326EEE">
        <w:rPr>
          <w:rFonts w:ascii="Cambria"/>
          <w:bCs/>
          <w:sz w:val="24"/>
          <w:szCs w:val="24"/>
        </w:rPr>
        <w:t>“</w:t>
      </w:r>
      <w:r w:rsidRPr="00326EEE">
        <w:rPr>
          <w:rFonts w:ascii="Cambria"/>
          <w:bCs/>
          <w:sz w:val="24"/>
          <w:szCs w:val="24"/>
        </w:rPr>
        <w:t>PCAOB</w:t>
      </w:r>
      <w:r w:rsidRPr="00326EEE">
        <w:rPr>
          <w:rFonts w:ascii="Cambria"/>
          <w:bCs/>
          <w:sz w:val="24"/>
          <w:szCs w:val="24"/>
        </w:rPr>
        <w:t>”</w:t>
      </w:r>
      <w:r w:rsidRPr="00326EEE">
        <w:rPr>
          <w:rFonts w:ascii="Cambria"/>
          <w:bCs/>
          <w:sz w:val="24"/>
          <w:szCs w:val="24"/>
        </w:rPr>
        <w:t>), at a time that is chosen by the accountant without prior notice or announcement to our firm and that is irregular from year to year. Clients are encouraged to raise any questions with us about the custody, safety or security of their assets and our custodial recommendations</w:t>
      </w:r>
    </w:p>
    <w:p w14:paraId="670BF535" w14:textId="77777777" w:rsidR="000F39BD" w:rsidRDefault="000F39BD" w:rsidP="00E413B6">
      <w:pPr>
        <w:ind w:left="119" w:firstLine="111"/>
        <w:rPr>
          <w:rFonts w:ascii="Cambria"/>
          <w:b/>
          <w:sz w:val="24"/>
          <w:szCs w:val="24"/>
          <w:u w:val="single"/>
        </w:rPr>
      </w:pPr>
    </w:p>
    <w:p w14:paraId="30FFEE21" w14:textId="64C02396" w:rsidR="00E413B6" w:rsidRDefault="00EE3BE7" w:rsidP="00E413B6">
      <w:pPr>
        <w:ind w:left="119" w:firstLine="111"/>
        <w:rPr>
          <w:rFonts w:ascii="Cambria"/>
          <w:b/>
          <w:sz w:val="24"/>
          <w:szCs w:val="24"/>
        </w:rPr>
      </w:pPr>
      <w:r>
        <w:rPr>
          <w:rFonts w:ascii="Cambria"/>
          <w:b/>
          <w:sz w:val="24"/>
          <w:szCs w:val="24"/>
          <w:u w:val="single"/>
        </w:rPr>
        <w:t>Possession of Client Checks</w:t>
      </w:r>
    </w:p>
    <w:p w14:paraId="655F28A6" w14:textId="77777777" w:rsidR="00E413B6" w:rsidRDefault="00E413B6" w:rsidP="00E413B6">
      <w:pPr>
        <w:pStyle w:val="BodyText"/>
        <w:spacing w:before="10"/>
        <w:rPr>
          <w:rFonts w:ascii="Cambria"/>
          <w:b/>
        </w:rPr>
      </w:pPr>
    </w:p>
    <w:p w14:paraId="1BAE7F4C" w14:textId="22055228" w:rsidR="0065174E" w:rsidRDefault="0065174E" w:rsidP="0065174E">
      <w:pPr>
        <w:pStyle w:val="BodyText"/>
        <w:ind w:left="230" w:right="220"/>
      </w:pPr>
      <w:r w:rsidRPr="0065174E">
        <w:t>On occasion BFC receives checks from clients that are payable to third-party custodians, brokers, or financial institutions. In the rare circumstances that such checks remain in our possession for more than three business days, this may be considered custody under SEC Rule 206(4)-2. </w:t>
      </w:r>
    </w:p>
    <w:p w14:paraId="19E5010F" w14:textId="77777777" w:rsidR="0065174E" w:rsidRPr="0065174E" w:rsidRDefault="0065174E" w:rsidP="0065174E">
      <w:pPr>
        <w:pStyle w:val="BodyText"/>
        <w:ind w:left="230" w:right="220"/>
      </w:pPr>
    </w:p>
    <w:p w14:paraId="5942DA72" w14:textId="77777777" w:rsidR="00E413B6" w:rsidRDefault="00E413B6" w:rsidP="00E413B6">
      <w:pPr>
        <w:pStyle w:val="BodyText"/>
        <w:ind w:left="230" w:right="220"/>
      </w:pPr>
      <w:r w:rsidRPr="00E413B6">
        <w:t>To ensure compliance with all applicable custody regulations, the firm adheres to the following policies and procedures:</w:t>
      </w:r>
    </w:p>
    <w:p w14:paraId="300387D7" w14:textId="77777777" w:rsidR="00E413B6" w:rsidRPr="00E413B6" w:rsidRDefault="00E413B6" w:rsidP="00E413B6">
      <w:pPr>
        <w:pStyle w:val="BodyText"/>
        <w:ind w:left="230" w:right="220"/>
      </w:pPr>
    </w:p>
    <w:p w14:paraId="74C32692" w14:textId="77777777" w:rsidR="00E413B6" w:rsidRDefault="00E413B6" w:rsidP="00E413B6">
      <w:pPr>
        <w:pStyle w:val="BodyText"/>
        <w:numPr>
          <w:ilvl w:val="0"/>
          <w:numId w:val="14"/>
        </w:numPr>
        <w:ind w:right="220"/>
      </w:pPr>
      <w:r w:rsidRPr="00E413B6">
        <w:rPr>
          <w:b/>
          <w:bCs/>
        </w:rPr>
        <w:t>Timely Processing and Custodial Disclosure:</w:t>
      </w:r>
      <w:r w:rsidRPr="00E413B6">
        <w:t xml:space="preserve"> Checks received are logged and promptly forwarded within three business days whenever possible. If circumstances prevent timely forwarding, we will follow SEC custody rule guidelines, including potential reporting and independent verification requirements.</w:t>
      </w:r>
    </w:p>
    <w:p w14:paraId="18FE0A2D" w14:textId="77777777" w:rsidR="001B046E" w:rsidRPr="00E413B6" w:rsidRDefault="001B046E" w:rsidP="00F713FC">
      <w:pPr>
        <w:pStyle w:val="BodyText"/>
        <w:ind w:left="720" w:right="220"/>
      </w:pPr>
    </w:p>
    <w:p w14:paraId="7DABA319" w14:textId="77777777" w:rsidR="00E413B6" w:rsidRDefault="00E413B6" w:rsidP="00E413B6">
      <w:pPr>
        <w:pStyle w:val="BodyText"/>
        <w:numPr>
          <w:ilvl w:val="0"/>
          <w:numId w:val="14"/>
        </w:numPr>
        <w:ind w:right="220"/>
      </w:pPr>
      <w:r w:rsidRPr="00E413B6">
        <w:rPr>
          <w:b/>
          <w:bCs/>
        </w:rPr>
        <w:t>Recordkeeping &amp; Compliance Monitoring:</w:t>
      </w:r>
      <w:r w:rsidRPr="00E413B6">
        <w:t xml:space="preserve"> Any check held beyond three business days will be documented thoroughly, including the date received, reason for delay, and client notification. The firm will maintain records demonstrating compliance with custody-related obligations.</w:t>
      </w:r>
    </w:p>
    <w:p w14:paraId="07DCB76B" w14:textId="77777777" w:rsidR="001B046E" w:rsidRDefault="001B046E" w:rsidP="00F713FC">
      <w:pPr>
        <w:pStyle w:val="ListParagraph"/>
      </w:pPr>
    </w:p>
    <w:p w14:paraId="4DF33FA0" w14:textId="77777777" w:rsidR="001B046E" w:rsidRPr="00E413B6" w:rsidRDefault="001B046E" w:rsidP="00F713FC">
      <w:pPr>
        <w:pStyle w:val="BodyText"/>
        <w:ind w:left="720" w:right="220"/>
      </w:pPr>
    </w:p>
    <w:p w14:paraId="4DEE7279" w14:textId="6AECA0A8" w:rsidR="00207CBB" w:rsidRDefault="00E413B6" w:rsidP="00F713FC">
      <w:pPr>
        <w:pStyle w:val="BodyText"/>
        <w:numPr>
          <w:ilvl w:val="0"/>
          <w:numId w:val="15"/>
        </w:numPr>
      </w:pPr>
      <w:r w:rsidRPr="00F713FC">
        <w:rPr>
          <w:b/>
        </w:rPr>
        <w:t>Independent Audit Requirements:</w:t>
      </w:r>
      <w:r w:rsidRPr="00E413B6">
        <w:t xml:space="preserve"> If custody is triggered due to extended check handling, the firm will be subject to an annual surprise examination </w:t>
      </w:r>
      <w:r w:rsidR="001B046E">
        <w:t xml:space="preserve">by </w:t>
      </w:r>
      <w:r w:rsidR="001B046E" w:rsidRPr="00F713FC">
        <w:t xml:space="preserve">an independent public accountant (“IPA”) registered with the Public Company Accounting Oversight Board (“PCAOB”), at a time that is chosen by the accountant without prior notice or announcement to our firm and that is irregular from year to year. </w:t>
      </w:r>
      <w:bookmarkStart w:id="26" w:name="_bookmark13"/>
      <w:bookmarkEnd w:id="26"/>
      <w:r w:rsidR="007729F9">
        <w:t>Item 16: Investment Discretion</w:t>
      </w:r>
    </w:p>
    <w:p w14:paraId="4FAA724F" w14:textId="77777777" w:rsidR="00207CBB" w:rsidRDefault="00207CBB">
      <w:pPr>
        <w:pStyle w:val="BodyText"/>
        <w:spacing w:before="4"/>
        <w:rPr>
          <w:b/>
        </w:rPr>
      </w:pPr>
    </w:p>
    <w:p w14:paraId="58F01F2F" w14:textId="77777777" w:rsidR="00207CBB" w:rsidRDefault="007729F9">
      <w:pPr>
        <w:pStyle w:val="BodyText"/>
        <w:ind w:left="230" w:right="337"/>
      </w:pPr>
      <w:r>
        <w:t>The</w:t>
      </w:r>
      <w:r>
        <w:rPr>
          <w:spacing w:val="-9"/>
        </w:rPr>
        <w:t xml:space="preserve"> </w:t>
      </w:r>
      <w:r>
        <w:t>Adviser</w:t>
      </w:r>
      <w:r>
        <w:rPr>
          <w:spacing w:val="-6"/>
        </w:rPr>
        <w:t xml:space="preserve"> </w:t>
      </w:r>
      <w:r>
        <w:t>has</w:t>
      </w:r>
      <w:r>
        <w:rPr>
          <w:spacing w:val="-10"/>
        </w:rPr>
        <w:t xml:space="preserve"> </w:t>
      </w:r>
      <w:r>
        <w:t>investment</w:t>
      </w:r>
      <w:r>
        <w:rPr>
          <w:spacing w:val="-6"/>
        </w:rPr>
        <w:t xml:space="preserve"> </w:t>
      </w:r>
      <w:r>
        <w:t>discretion</w:t>
      </w:r>
      <w:r>
        <w:rPr>
          <w:spacing w:val="-7"/>
        </w:rPr>
        <w:t xml:space="preserve"> </w:t>
      </w:r>
      <w:r>
        <w:t>over</w:t>
      </w:r>
      <w:r>
        <w:rPr>
          <w:spacing w:val="-6"/>
        </w:rPr>
        <w:t xml:space="preserve"> </w:t>
      </w:r>
      <w:r>
        <w:t>all</w:t>
      </w:r>
      <w:r>
        <w:rPr>
          <w:spacing w:val="-5"/>
        </w:rPr>
        <w:t xml:space="preserve"> </w:t>
      </w:r>
      <w:r>
        <w:t>client</w:t>
      </w:r>
      <w:r>
        <w:rPr>
          <w:spacing w:val="-7"/>
        </w:rPr>
        <w:t xml:space="preserve"> </w:t>
      </w:r>
      <w:r>
        <w:t>accounts</w:t>
      </w:r>
      <w:r>
        <w:rPr>
          <w:spacing w:val="-10"/>
        </w:rPr>
        <w:t xml:space="preserve"> </w:t>
      </w:r>
      <w:r>
        <w:t>except</w:t>
      </w:r>
      <w:r>
        <w:rPr>
          <w:spacing w:val="-7"/>
        </w:rPr>
        <w:t xml:space="preserve"> </w:t>
      </w:r>
      <w:r>
        <w:t>for</w:t>
      </w:r>
      <w:r>
        <w:rPr>
          <w:spacing w:val="-5"/>
        </w:rPr>
        <w:t xml:space="preserve"> </w:t>
      </w:r>
      <w:r>
        <w:t>401(k)</w:t>
      </w:r>
      <w:r>
        <w:rPr>
          <w:spacing w:val="-6"/>
        </w:rPr>
        <w:t xml:space="preserve"> </w:t>
      </w:r>
      <w:r>
        <w:t>plan</w:t>
      </w:r>
      <w:r>
        <w:rPr>
          <w:spacing w:val="5"/>
        </w:rPr>
        <w:t xml:space="preserve"> </w:t>
      </w:r>
      <w:r>
        <w:t>clients who direct the Advisor how to invest through investment election form, which is completed by the client. The Advisor has trading discretion over these accounts but not investment discretion.</w:t>
      </w:r>
    </w:p>
    <w:p w14:paraId="0EE929CA" w14:textId="77777777" w:rsidR="00207CBB" w:rsidRDefault="00207CBB">
      <w:pPr>
        <w:pStyle w:val="BodyText"/>
      </w:pPr>
    </w:p>
    <w:p w14:paraId="21F4EA73" w14:textId="0F001886" w:rsidR="00207CBB" w:rsidRDefault="007729F9">
      <w:pPr>
        <w:pStyle w:val="BodyText"/>
        <w:ind w:left="230" w:right="342"/>
      </w:pPr>
      <w:r>
        <w:t>The Adviser has limited trading authority over the client’s account(s). Discretionary trading means the Adviser has the power to make trading decisions in the client’s account without receiving prior permission. This discretion is authorized by the Client in writing (upon signing the Wealth Management Agreement) and can be revoked at any time by the client.</w:t>
      </w:r>
      <w:r>
        <w:rPr>
          <w:spacing w:val="-8"/>
        </w:rPr>
        <w:t xml:space="preserve"> </w:t>
      </w:r>
      <w:r>
        <w:t>No</w:t>
      </w:r>
      <w:r>
        <w:rPr>
          <w:spacing w:val="-5"/>
        </w:rPr>
        <w:t xml:space="preserve"> </w:t>
      </w:r>
      <w:r>
        <w:t>monies</w:t>
      </w:r>
      <w:r>
        <w:rPr>
          <w:spacing w:val="-8"/>
        </w:rPr>
        <w:t xml:space="preserve"> </w:t>
      </w:r>
      <w:r>
        <w:t>can</w:t>
      </w:r>
      <w:r>
        <w:rPr>
          <w:spacing w:val="-1"/>
        </w:rPr>
        <w:t xml:space="preserve"> </w:t>
      </w:r>
      <w:r>
        <w:t>be</w:t>
      </w:r>
      <w:r>
        <w:rPr>
          <w:spacing w:val="-4"/>
        </w:rPr>
        <w:t xml:space="preserve"> </w:t>
      </w:r>
      <w:r>
        <w:t>withdrawn</w:t>
      </w:r>
      <w:r>
        <w:rPr>
          <w:spacing w:val="-6"/>
        </w:rPr>
        <w:t xml:space="preserve"> </w:t>
      </w:r>
      <w:r>
        <w:t>by</w:t>
      </w:r>
      <w:r>
        <w:rPr>
          <w:spacing w:val="-6"/>
        </w:rPr>
        <w:t xml:space="preserve"> </w:t>
      </w:r>
      <w:r>
        <w:t>the</w:t>
      </w:r>
      <w:r>
        <w:rPr>
          <w:spacing w:val="-8"/>
        </w:rPr>
        <w:t xml:space="preserve"> </w:t>
      </w:r>
      <w:r>
        <w:t>Adviser</w:t>
      </w:r>
      <w:r>
        <w:rPr>
          <w:spacing w:val="-5"/>
        </w:rPr>
        <w:t xml:space="preserve"> </w:t>
      </w:r>
      <w:r>
        <w:t>from</w:t>
      </w:r>
      <w:r>
        <w:rPr>
          <w:spacing w:val="-4"/>
        </w:rPr>
        <w:t xml:space="preserve"> </w:t>
      </w:r>
      <w:r>
        <w:t>the</w:t>
      </w:r>
      <w:r>
        <w:rPr>
          <w:spacing w:val="-8"/>
        </w:rPr>
        <w:t xml:space="preserve"> </w:t>
      </w:r>
      <w:r>
        <w:t>account</w:t>
      </w:r>
      <w:r>
        <w:rPr>
          <w:spacing w:val="-6"/>
        </w:rPr>
        <w:t xml:space="preserve"> </w:t>
      </w:r>
      <w:r>
        <w:t>except</w:t>
      </w:r>
      <w:r>
        <w:rPr>
          <w:spacing w:val="-5"/>
        </w:rPr>
        <w:t xml:space="preserve"> </w:t>
      </w:r>
      <w:r>
        <w:t>for</w:t>
      </w:r>
      <w:r>
        <w:rPr>
          <w:spacing w:val="-5"/>
        </w:rPr>
        <w:t xml:space="preserve"> </w:t>
      </w:r>
      <w:r>
        <w:t>the</w:t>
      </w:r>
      <w:r>
        <w:rPr>
          <w:spacing w:val="-8"/>
        </w:rPr>
        <w:t xml:space="preserve"> </w:t>
      </w:r>
      <w:r>
        <w:t>payment of fees if authorized in writing by the client. This authorization can also be revoked at any time by the</w:t>
      </w:r>
      <w:r>
        <w:rPr>
          <w:spacing w:val="-6"/>
        </w:rPr>
        <w:t xml:space="preserve"> </w:t>
      </w:r>
      <w:r>
        <w:t>client.</w:t>
      </w:r>
    </w:p>
    <w:p w14:paraId="4BD2FCDE" w14:textId="77777777" w:rsidR="00207CBB" w:rsidRDefault="00207CBB">
      <w:pPr>
        <w:pStyle w:val="BodyText"/>
        <w:spacing w:before="5"/>
        <w:rPr>
          <w:sz w:val="29"/>
        </w:rPr>
      </w:pPr>
    </w:p>
    <w:p w14:paraId="783BA83D" w14:textId="77777777" w:rsidR="00207CBB" w:rsidRDefault="007729F9">
      <w:pPr>
        <w:pStyle w:val="Heading1"/>
        <w:ind w:left="0" w:firstLine="230"/>
        <w:jc w:val="left"/>
      </w:pPr>
      <w:bookmarkStart w:id="27" w:name="_bookmark14"/>
      <w:bookmarkStart w:id="28" w:name="_Toc201066088"/>
      <w:bookmarkEnd w:id="27"/>
      <w:r>
        <w:t>Item 17: Voting Client Securities (Proxy Voting)</w:t>
      </w:r>
      <w:bookmarkEnd w:id="28"/>
    </w:p>
    <w:p w14:paraId="23B212F7" w14:textId="77777777" w:rsidR="00207CBB" w:rsidRDefault="00207CBB">
      <w:pPr>
        <w:ind w:left="230"/>
        <w:rPr>
          <w:b/>
          <w:sz w:val="28"/>
          <w:u w:val="single"/>
        </w:rPr>
      </w:pPr>
    </w:p>
    <w:p w14:paraId="018E494D" w14:textId="77777777" w:rsidR="00207CBB" w:rsidRDefault="007729F9">
      <w:pPr>
        <w:pStyle w:val="BodyText"/>
        <w:spacing w:before="8"/>
        <w:ind w:left="230"/>
      </w:pPr>
      <w:r>
        <w:t>Adviser has adopted the following policies and procedures regarding proxy voting for its</w:t>
      </w:r>
    </w:p>
    <w:p w14:paraId="4A9ED1F5" w14:textId="77777777" w:rsidR="00207CBB" w:rsidRDefault="00207CBB">
      <w:pPr>
        <w:sectPr w:rsidR="00207CBB">
          <w:type w:val="continuous"/>
          <w:pgSz w:w="12240" w:h="15840"/>
          <w:pgMar w:top="1280" w:right="1080" w:bottom="920" w:left="1224" w:header="0" w:footer="689" w:gutter="0"/>
          <w:cols w:space="720"/>
        </w:sectPr>
      </w:pPr>
    </w:p>
    <w:p w14:paraId="49E98CAE" w14:textId="77777777" w:rsidR="00207CBB" w:rsidRDefault="007729F9">
      <w:pPr>
        <w:pStyle w:val="BodyText"/>
        <w:spacing w:before="41"/>
        <w:ind w:left="230" w:right="343"/>
      </w:pPr>
      <w:r>
        <w:t>clients’</w:t>
      </w:r>
      <w:r>
        <w:rPr>
          <w:spacing w:val="-18"/>
        </w:rPr>
        <w:t xml:space="preserve"> </w:t>
      </w:r>
      <w:r>
        <w:t>accounts.</w:t>
      </w:r>
      <w:r>
        <w:rPr>
          <w:spacing w:val="7"/>
        </w:rPr>
        <w:t xml:space="preserve"> </w:t>
      </w:r>
      <w:r>
        <w:t>At</w:t>
      </w:r>
      <w:r>
        <w:rPr>
          <w:spacing w:val="-19"/>
        </w:rPr>
        <w:t xml:space="preserve"> </w:t>
      </w:r>
      <w:r>
        <w:t>all</w:t>
      </w:r>
      <w:r>
        <w:rPr>
          <w:spacing w:val="-21"/>
        </w:rPr>
        <w:t xml:space="preserve"> </w:t>
      </w:r>
      <w:r>
        <w:t>times,</w:t>
      </w:r>
      <w:r>
        <w:rPr>
          <w:spacing w:val="-19"/>
        </w:rPr>
        <w:t xml:space="preserve"> </w:t>
      </w:r>
      <w:r>
        <w:t>Adviser</w:t>
      </w:r>
      <w:r>
        <w:rPr>
          <w:spacing w:val="-21"/>
        </w:rPr>
        <w:t xml:space="preserve"> </w:t>
      </w:r>
      <w:r>
        <w:t>has</w:t>
      </w:r>
      <w:r>
        <w:rPr>
          <w:spacing w:val="-21"/>
        </w:rPr>
        <w:t xml:space="preserve"> </w:t>
      </w:r>
      <w:r>
        <w:t>a</w:t>
      </w:r>
      <w:r>
        <w:rPr>
          <w:spacing w:val="-21"/>
        </w:rPr>
        <w:t xml:space="preserve"> </w:t>
      </w:r>
      <w:r>
        <w:t>“duty</w:t>
      </w:r>
      <w:r>
        <w:rPr>
          <w:spacing w:val="-23"/>
        </w:rPr>
        <w:t xml:space="preserve"> </w:t>
      </w:r>
      <w:r>
        <w:t>of</w:t>
      </w:r>
      <w:r>
        <w:rPr>
          <w:spacing w:val="-23"/>
        </w:rPr>
        <w:t xml:space="preserve"> </w:t>
      </w:r>
      <w:r>
        <w:t>care”</w:t>
      </w:r>
      <w:r>
        <w:rPr>
          <w:spacing w:val="-22"/>
        </w:rPr>
        <w:t xml:space="preserve"> </w:t>
      </w:r>
      <w:r>
        <w:t>to</w:t>
      </w:r>
      <w:r>
        <w:rPr>
          <w:spacing w:val="-21"/>
        </w:rPr>
        <w:t xml:space="preserve"> </w:t>
      </w:r>
      <w:r>
        <w:t>its</w:t>
      </w:r>
      <w:r>
        <w:rPr>
          <w:spacing w:val="-21"/>
        </w:rPr>
        <w:t xml:space="preserve"> </w:t>
      </w:r>
      <w:r>
        <w:t>clients,</w:t>
      </w:r>
      <w:r>
        <w:rPr>
          <w:spacing w:val="-19"/>
        </w:rPr>
        <w:t xml:space="preserve"> </w:t>
      </w:r>
      <w:r>
        <w:t>and</w:t>
      </w:r>
      <w:r>
        <w:rPr>
          <w:spacing w:val="-17"/>
        </w:rPr>
        <w:t xml:space="preserve"> </w:t>
      </w:r>
      <w:r>
        <w:t>Adviser</w:t>
      </w:r>
      <w:r>
        <w:rPr>
          <w:spacing w:val="-17"/>
        </w:rPr>
        <w:t xml:space="preserve"> </w:t>
      </w:r>
      <w:r>
        <w:t>recognizes and accepts this responsibility. Should the Adviser exercise voting authority over its clients’ proxies, it must ensure that all proxies are handled in the best interests of its</w:t>
      </w:r>
      <w:r>
        <w:rPr>
          <w:spacing w:val="-33"/>
        </w:rPr>
        <w:t xml:space="preserve"> </w:t>
      </w:r>
      <w:r>
        <w:t>clients.</w:t>
      </w:r>
    </w:p>
    <w:p w14:paraId="1FC6CB00" w14:textId="77777777" w:rsidR="00207CBB" w:rsidRDefault="00207CBB">
      <w:pPr>
        <w:pStyle w:val="BodyText"/>
        <w:spacing w:before="10"/>
        <w:rPr>
          <w:sz w:val="23"/>
        </w:rPr>
      </w:pPr>
    </w:p>
    <w:p w14:paraId="28668609" w14:textId="77777777" w:rsidR="00207CBB" w:rsidRDefault="007729F9">
      <w:pPr>
        <w:pStyle w:val="BodyText"/>
        <w:ind w:left="230" w:right="348"/>
      </w:pPr>
      <w:r>
        <w:t>Currently,</w:t>
      </w:r>
      <w:r>
        <w:rPr>
          <w:spacing w:val="-14"/>
        </w:rPr>
        <w:t xml:space="preserve"> </w:t>
      </w:r>
      <w:r>
        <w:t>Adviser</w:t>
      </w:r>
      <w:r>
        <w:rPr>
          <w:spacing w:val="-11"/>
        </w:rPr>
        <w:t xml:space="preserve"> </w:t>
      </w:r>
      <w:r>
        <w:t>has</w:t>
      </w:r>
      <w:r>
        <w:rPr>
          <w:spacing w:val="-15"/>
        </w:rPr>
        <w:t xml:space="preserve"> </w:t>
      </w:r>
      <w:r>
        <w:t>chosen</w:t>
      </w:r>
      <w:r>
        <w:rPr>
          <w:spacing w:val="-12"/>
        </w:rPr>
        <w:t xml:space="preserve"> </w:t>
      </w:r>
      <w:r>
        <w:t>not</w:t>
      </w:r>
      <w:r>
        <w:rPr>
          <w:spacing w:val="-12"/>
        </w:rPr>
        <w:t xml:space="preserve"> </w:t>
      </w:r>
      <w:r>
        <w:t>to</w:t>
      </w:r>
      <w:r>
        <w:rPr>
          <w:spacing w:val="-10"/>
        </w:rPr>
        <w:t xml:space="preserve"> </w:t>
      </w:r>
      <w:r>
        <w:t>retain</w:t>
      </w:r>
      <w:r>
        <w:rPr>
          <w:spacing w:val="-12"/>
        </w:rPr>
        <w:t xml:space="preserve"> </w:t>
      </w:r>
      <w:r>
        <w:t>voting</w:t>
      </w:r>
      <w:r>
        <w:rPr>
          <w:spacing w:val="-10"/>
        </w:rPr>
        <w:t xml:space="preserve"> </w:t>
      </w:r>
      <w:r>
        <w:t>authority</w:t>
      </w:r>
      <w:r>
        <w:rPr>
          <w:spacing w:val="-13"/>
        </w:rPr>
        <w:t xml:space="preserve"> </w:t>
      </w:r>
      <w:r>
        <w:t>over</w:t>
      </w:r>
      <w:r>
        <w:rPr>
          <w:spacing w:val="-11"/>
        </w:rPr>
        <w:t xml:space="preserve"> </w:t>
      </w:r>
      <w:r>
        <w:t>its</w:t>
      </w:r>
      <w:r>
        <w:rPr>
          <w:spacing w:val="-14"/>
        </w:rPr>
        <w:t xml:space="preserve"> </w:t>
      </w:r>
      <w:r>
        <w:t>clients’</w:t>
      </w:r>
      <w:r>
        <w:rPr>
          <w:spacing w:val="-12"/>
        </w:rPr>
        <w:t xml:space="preserve"> </w:t>
      </w:r>
      <w:r>
        <w:t>proxy</w:t>
      </w:r>
      <w:r>
        <w:rPr>
          <w:spacing w:val="-14"/>
        </w:rPr>
        <w:t xml:space="preserve"> </w:t>
      </w:r>
      <w:r>
        <w:t>voting</w:t>
      </w:r>
      <w:r>
        <w:rPr>
          <w:spacing w:val="-10"/>
        </w:rPr>
        <w:t xml:space="preserve"> </w:t>
      </w:r>
      <w:r>
        <w:t>and has</w:t>
      </w:r>
      <w:r>
        <w:rPr>
          <w:spacing w:val="-8"/>
        </w:rPr>
        <w:t xml:space="preserve"> </w:t>
      </w:r>
      <w:r>
        <w:t>left</w:t>
      </w:r>
      <w:r>
        <w:rPr>
          <w:spacing w:val="-6"/>
        </w:rPr>
        <w:t xml:space="preserve"> </w:t>
      </w:r>
      <w:r>
        <w:t>the</w:t>
      </w:r>
      <w:r>
        <w:rPr>
          <w:spacing w:val="-8"/>
        </w:rPr>
        <w:t xml:space="preserve"> </w:t>
      </w:r>
      <w:r>
        <w:t>voting</w:t>
      </w:r>
      <w:r>
        <w:rPr>
          <w:spacing w:val="-5"/>
        </w:rPr>
        <w:t xml:space="preserve"> </w:t>
      </w:r>
      <w:r>
        <w:t>authority</w:t>
      </w:r>
      <w:r>
        <w:rPr>
          <w:spacing w:val="-7"/>
        </w:rPr>
        <w:t xml:space="preserve"> </w:t>
      </w:r>
      <w:r>
        <w:t>to</w:t>
      </w:r>
      <w:r>
        <w:rPr>
          <w:spacing w:val="-4"/>
        </w:rPr>
        <w:t xml:space="preserve"> </w:t>
      </w:r>
      <w:r>
        <w:t>the</w:t>
      </w:r>
      <w:r>
        <w:rPr>
          <w:spacing w:val="-8"/>
        </w:rPr>
        <w:t xml:space="preserve"> </w:t>
      </w:r>
      <w:r>
        <w:t>clients.</w:t>
      </w:r>
      <w:r>
        <w:rPr>
          <w:spacing w:val="-8"/>
        </w:rPr>
        <w:t xml:space="preserve"> </w:t>
      </w:r>
      <w:r>
        <w:t>The</w:t>
      </w:r>
      <w:r>
        <w:rPr>
          <w:spacing w:val="-7"/>
        </w:rPr>
        <w:t xml:space="preserve"> </w:t>
      </w:r>
      <w:r>
        <w:t>client</w:t>
      </w:r>
      <w:r>
        <w:rPr>
          <w:spacing w:val="-5"/>
        </w:rPr>
        <w:t xml:space="preserve"> </w:t>
      </w:r>
      <w:r>
        <w:t>is</w:t>
      </w:r>
      <w:r>
        <w:rPr>
          <w:spacing w:val="-8"/>
        </w:rPr>
        <w:t xml:space="preserve"> </w:t>
      </w:r>
      <w:r>
        <w:t>welcome</w:t>
      </w:r>
      <w:r>
        <w:rPr>
          <w:spacing w:val="-8"/>
        </w:rPr>
        <w:t xml:space="preserve"> </w:t>
      </w:r>
      <w:r>
        <w:t>to</w:t>
      </w:r>
      <w:r>
        <w:rPr>
          <w:spacing w:val="-4"/>
        </w:rPr>
        <w:t xml:space="preserve"> </w:t>
      </w:r>
      <w:r>
        <w:t>vote</w:t>
      </w:r>
      <w:r>
        <w:rPr>
          <w:spacing w:val="-8"/>
        </w:rPr>
        <w:t xml:space="preserve"> </w:t>
      </w:r>
      <w:r>
        <w:t>proxies</w:t>
      </w:r>
      <w:r>
        <w:rPr>
          <w:spacing w:val="-9"/>
        </w:rPr>
        <w:t xml:space="preserve"> </w:t>
      </w:r>
      <w:r>
        <w:t>or</w:t>
      </w:r>
      <w:r>
        <w:rPr>
          <w:spacing w:val="-4"/>
        </w:rPr>
        <w:t xml:space="preserve"> </w:t>
      </w:r>
      <w:r>
        <w:t>designate an</w:t>
      </w:r>
      <w:r>
        <w:rPr>
          <w:spacing w:val="-8"/>
        </w:rPr>
        <w:t xml:space="preserve"> </w:t>
      </w:r>
      <w:r>
        <w:t>independent</w:t>
      </w:r>
      <w:r>
        <w:rPr>
          <w:spacing w:val="-6"/>
        </w:rPr>
        <w:t xml:space="preserve"> </w:t>
      </w:r>
      <w:r>
        <w:t>third-party</w:t>
      </w:r>
      <w:r>
        <w:rPr>
          <w:spacing w:val="-8"/>
        </w:rPr>
        <w:t xml:space="preserve"> </w:t>
      </w:r>
      <w:r>
        <w:t>at</w:t>
      </w:r>
      <w:r>
        <w:rPr>
          <w:spacing w:val="-7"/>
        </w:rPr>
        <w:t xml:space="preserve"> </w:t>
      </w:r>
      <w:r>
        <w:t>the</w:t>
      </w:r>
      <w:r>
        <w:rPr>
          <w:spacing w:val="-9"/>
        </w:rPr>
        <w:t xml:space="preserve"> </w:t>
      </w:r>
      <w:r>
        <w:t>client’s</w:t>
      </w:r>
      <w:r>
        <w:rPr>
          <w:spacing w:val="-10"/>
        </w:rPr>
        <w:t xml:space="preserve"> </w:t>
      </w:r>
      <w:r>
        <w:t>own</w:t>
      </w:r>
      <w:r>
        <w:rPr>
          <w:spacing w:val="-7"/>
        </w:rPr>
        <w:t xml:space="preserve"> </w:t>
      </w:r>
      <w:r>
        <w:t>discretion.</w:t>
      </w:r>
      <w:r>
        <w:rPr>
          <w:spacing w:val="-8"/>
        </w:rPr>
        <w:t xml:space="preserve"> </w:t>
      </w:r>
      <w:r>
        <w:t>The</w:t>
      </w:r>
      <w:r>
        <w:rPr>
          <w:spacing w:val="-9"/>
        </w:rPr>
        <w:t xml:space="preserve"> </w:t>
      </w:r>
      <w:r>
        <w:t>client</w:t>
      </w:r>
      <w:r>
        <w:rPr>
          <w:spacing w:val="-6"/>
        </w:rPr>
        <w:t xml:space="preserve"> </w:t>
      </w:r>
      <w:r>
        <w:t>designates</w:t>
      </w:r>
      <w:r>
        <w:rPr>
          <w:spacing w:val="-10"/>
        </w:rPr>
        <w:t xml:space="preserve"> </w:t>
      </w:r>
      <w:r>
        <w:t>proxy</w:t>
      </w:r>
      <w:r>
        <w:rPr>
          <w:spacing w:val="-8"/>
        </w:rPr>
        <w:t xml:space="preserve"> </w:t>
      </w:r>
      <w:r>
        <w:t xml:space="preserve">voting authority in the custodial account documents. The client must ensure that proxy materials </w:t>
      </w:r>
    </w:p>
    <w:p w14:paraId="0030C23E" w14:textId="77777777" w:rsidR="00207CBB" w:rsidRDefault="007729F9">
      <w:pPr>
        <w:pStyle w:val="BodyText"/>
        <w:ind w:left="230" w:right="348"/>
      </w:pPr>
      <w:r>
        <w:t xml:space="preserve">are sent directly to the client or the client’s assigned third party. Should the client have any questions on how </w:t>
      </w:r>
      <w:r>
        <w:rPr>
          <w:spacing w:val="-3"/>
        </w:rPr>
        <w:t xml:space="preserve">to </w:t>
      </w:r>
      <w:r>
        <w:t>vote their proxies, they can contact their Adviser at (317)</w:t>
      </w:r>
      <w:r>
        <w:rPr>
          <w:spacing w:val="-19"/>
        </w:rPr>
        <w:t xml:space="preserve"> </w:t>
      </w:r>
      <w:r>
        <w:t>843-1358.</w:t>
      </w:r>
    </w:p>
    <w:p w14:paraId="69987620" w14:textId="77777777" w:rsidR="00207CBB" w:rsidRDefault="00207CBB">
      <w:pPr>
        <w:pStyle w:val="BodyText"/>
        <w:spacing w:before="6"/>
      </w:pPr>
    </w:p>
    <w:p w14:paraId="18F88CE9" w14:textId="77777777" w:rsidR="00207CBB" w:rsidRDefault="007729F9">
      <w:pPr>
        <w:pStyle w:val="BodyText"/>
        <w:spacing w:line="237" w:lineRule="auto"/>
        <w:ind w:left="230" w:right="353"/>
      </w:pPr>
      <w:r>
        <w:t xml:space="preserve">We do not take action with respect to any securities or other investments that become the </w:t>
      </w:r>
      <w:r>
        <w:lastRenderedPageBreak/>
        <w:t>subject of any legal proceedings, including</w:t>
      </w:r>
      <w:r>
        <w:rPr>
          <w:spacing w:val="-4"/>
        </w:rPr>
        <w:t xml:space="preserve"> </w:t>
      </w:r>
      <w:r>
        <w:t>bankruptcies.</w:t>
      </w:r>
    </w:p>
    <w:p w14:paraId="12427BFF" w14:textId="77777777" w:rsidR="00207CBB" w:rsidRDefault="00207CBB">
      <w:pPr>
        <w:pStyle w:val="BodyText"/>
        <w:spacing w:before="11"/>
        <w:rPr>
          <w:sz w:val="23"/>
        </w:rPr>
      </w:pPr>
    </w:p>
    <w:p w14:paraId="1B9BA5B4" w14:textId="77777777" w:rsidR="00207CBB" w:rsidRDefault="007729F9">
      <w:pPr>
        <w:pStyle w:val="Heading1"/>
        <w:ind w:left="0" w:firstLine="230"/>
        <w:jc w:val="left"/>
      </w:pPr>
      <w:bookmarkStart w:id="29" w:name="_bookmark15"/>
      <w:bookmarkStart w:id="30" w:name="_Toc201066089"/>
      <w:bookmarkEnd w:id="29"/>
      <w:r>
        <w:t>Item 18: Financial Information</w:t>
      </w:r>
      <w:bookmarkEnd w:id="30"/>
    </w:p>
    <w:p w14:paraId="3D30A97B" w14:textId="77777777" w:rsidR="00207CBB" w:rsidRDefault="00207CBB">
      <w:pPr>
        <w:ind w:left="234"/>
        <w:rPr>
          <w:b/>
          <w:sz w:val="28"/>
          <w:u w:val="single"/>
        </w:rPr>
      </w:pPr>
    </w:p>
    <w:p w14:paraId="0EE2AB47" w14:textId="77777777" w:rsidR="00207CBB" w:rsidRDefault="007729F9">
      <w:pPr>
        <w:pStyle w:val="BodyText"/>
        <w:ind w:left="234"/>
      </w:pPr>
      <w:r>
        <w:t>The Adviser is not required to disclose any financial information pursuant to this item due to the following:</w:t>
      </w:r>
    </w:p>
    <w:p w14:paraId="28D1833C" w14:textId="77777777" w:rsidR="00207CBB" w:rsidRDefault="00207CBB">
      <w:pPr>
        <w:pStyle w:val="BodyText"/>
        <w:ind w:left="234"/>
      </w:pPr>
    </w:p>
    <w:p w14:paraId="08A4505E" w14:textId="77777777" w:rsidR="00207CBB" w:rsidRDefault="007729F9">
      <w:pPr>
        <w:pStyle w:val="BodyText"/>
        <w:numPr>
          <w:ilvl w:val="0"/>
          <w:numId w:val="7"/>
        </w:numPr>
      </w:pPr>
      <w:r>
        <w:t>The Adviser does not require or solicit the prepayment of more than $1,200 in fees six months or more in advance of rendering services;</w:t>
      </w:r>
    </w:p>
    <w:p w14:paraId="22ABE923" w14:textId="77777777" w:rsidR="00207CBB" w:rsidRDefault="00207CBB">
      <w:pPr>
        <w:pStyle w:val="BodyText"/>
        <w:ind w:left="234"/>
      </w:pPr>
    </w:p>
    <w:p w14:paraId="381BA607" w14:textId="77777777" w:rsidR="00207CBB" w:rsidRDefault="007729F9">
      <w:pPr>
        <w:pStyle w:val="BodyText"/>
        <w:numPr>
          <w:ilvl w:val="0"/>
          <w:numId w:val="7"/>
        </w:numPr>
      </w:pPr>
      <w:r>
        <w:t xml:space="preserve">The Adviser is unaware of any financial condition that is reasonably likely to impair its ability to meet its contractual commitments relating to its discretionary authority over certain client accounts; </w:t>
      </w:r>
    </w:p>
    <w:p w14:paraId="17BD2ADE" w14:textId="77777777" w:rsidR="00207CBB" w:rsidRDefault="00207CBB">
      <w:pPr>
        <w:pStyle w:val="BodyText"/>
        <w:ind w:left="234"/>
      </w:pPr>
    </w:p>
    <w:p w14:paraId="4F2255B2" w14:textId="77777777" w:rsidR="00207CBB" w:rsidRDefault="007729F9">
      <w:pPr>
        <w:pStyle w:val="BodyText"/>
        <w:numPr>
          <w:ilvl w:val="0"/>
          <w:numId w:val="7"/>
        </w:numPr>
      </w:pPr>
      <w:r>
        <w:t>The Adviser has never been the subject of a bankruptcy petition; and</w:t>
      </w:r>
    </w:p>
    <w:p w14:paraId="733E7FB4" w14:textId="77777777" w:rsidR="00207CBB" w:rsidRDefault="00207CBB">
      <w:pPr>
        <w:pStyle w:val="BodyText"/>
        <w:ind w:left="954"/>
      </w:pPr>
    </w:p>
    <w:p w14:paraId="3FB607C3" w14:textId="77777777" w:rsidR="00207CBB" w:rsidRDefault="007729F9">
      <w:pPr>
        <w:pStyle w:val="BodyText"/>
        <w:numPr>
          <w:ilvl w:val="0"/>
          <w:numId w:val="7"/>
        </w:numPr>
      </w:pPr>
      <w:r>
        <w:t>Adviser</w:t>
      </w:r>
      <w:r>
        <w:rPr>
          <w:spacing w:val="-15"/>
        </w:rPr>
        <w:t xml:space="preserve"> </w:t>
      </w:r>
      <w:r>
        <w:t>does</w:t>
      </w:r>
      <w:r>
        <w:rPr>
          <w:spacing w:val="-18"/>
        </w:rPr>
        <w:t xml:space="preserve"> </w:t>
      </w:r>
      <w:r>
        <w:t>not</w:t>
      </w:r>
      <w:r>
        <w:rPr>
          <w:spacing w:val="-14"/>
        </w:rPr>
        <w:t xml:space="preserve"> </w:t>
      </w:r>
      <w:r>
        <w:t>require</w:t>
      </w:r>
      <w:r>
        <w:rPr>
          <w:spacing w:val="-18"/>
        </w:rPr>
        <w:t xml:space="preserve"> </w:t>
      </w:r>
      <w:r>
        <w:t>or</w:t>
      </w:r>
      <w:r>
        <w:rPr>
          <w:spacing w:val="-14"/>
        </w:rPr>
        <w:t xml:space="preserve"> </w:t>
      </w:r>
      <w:r>
        <w:t>solicit</w:t>
      </w:r>
      <w:r>
        <w:rPr>
          <w:spacing w:val="-15"/>
        </w:rPr>
        <w:t xml:space="preserve"> </w:t>
      </w:r>
      <w:r>
        <w:t>prepayment</w:t>
      </w:r>
      <w:r>
        <w:rPr>
          <w:spacing w:val="-15"/>
        </w:rPr>
        <w:t xml:space="preserve"> </w:t>
      </w:r>
      <w:r>
        <w:t>from</w:t>
      </w:r>
      <w:r>
        <w:rPr>
          <w:spacing w:val="-13"/>
        </w:rPr>
        <w:t xml:space="preserve"> </w:t>
      </w:r>
      <w:r>
        <w:t>a</w:t>
      </w:r>
      <w:r>
        <w:rPr>
          <w:spacing w:val="-18"/>
        </w:rPr>
        <w:t xml:space="preserve"> </w:t>
      </w:r>
      <w:r>
        <w:t>client</w:t>
      </w:r>
      <w:r>
        <w:rPr>
          <w:spacing w:val="-14"/>
        </w:rPr>
        <w:t xml:space="preserve"> </w:t>
      </w:r>
      <w:r>
        <w:t>of</w:t>
      </w:r>
      <w:r>
        <w:rPr>
          <w:spacing w:val="-17"/>
        </w:rPr>
        <w:t xml:space="preserve"> </w:t>
      </w:r>
      <w:r>
        <w:t>more</w:t>
      </w:r>
      <w:r>
        <w:rPr>
          <w:spacing w:val="-18"/>
        </w:rPr>
        <w:t xml:space="preserve"> </w:t>
      </w:r>
      <w:r>
        <w:t>than</w:t>
      </w:r>
      <w:r>
        <w:rPr>
          <w:spacing w:val="-15"/>
        </w:rPr>
        <w:t xml:space="preserve"> </w:t>
      </w:r>
      <w:r>
        <w:t>$1,200</w:t>
      </w:r>
      <w:r>
        <w:rPr>
          <w:spacing w:val="-15"/>
        </w:rPr>
        <w:t xml:space="preserve"> </w:t>
      </w:r>
      <w:r>
        <w:t>in</w:t>
      </w:r>
      <w:r>
        <w:rPr>
          <w:spacing w:val="-14"/>
        </w:rPr>
        <w:t xml:space="preserve"> </w:t>
      </w:r>
      <w:r>
        <w:t>fees</w:t>
      </w:r>
      <w:r>
        <w:rPr>
          <w:spacing w:val="-18"/>
        </w:rPr>
        <w:t xml:space="preserve"> </w:t>
      </w:r>
      <w:r>
        <w:t>more than six months in</w:t>
      </w:r>
      <w:r>
        <w:rPr>
          <w:spacing w:val="-5"/>
        </w:rPr>
        <w:t xml:space="preserve"> </w:t>
      </w:r>
      <w:r>
        <w:t>advance.</w:t>
      </w:r>
    </w:p>
    <w:p w14:paraId="4554A8EB" w14:textId="77777777" w:rsidR="00207CBB" w:rsidRDefault="00207CBB">
      <w:pPr>
        <w:pStyle w:val="BodyText"/>
        <w:spacing w:before="1"/>
      </w:pPr>
    </w:p>
    <w:p w14:paraId="5BE11A7C" w14:textId="77777777" w:rsidR="00207CBB" w:rsidRDefault="007729F9">
      <w:pPr>
        <w:pStyle w:val="BodyText"/>
        <w:ind w:firstLine="230"/>
        <w:rPr>
          <w:b/>
          <w:u w:val="single"/>
        </w:rPr>
      </w:pPr>
      <w:r>
        <w:rPr>
          <w:b/>
          <w:u w:val="single"/>
        </w:rPr>
        <w:t>Valuation Procedures</w:t>
      </w:r>
    </w:p>
    <w:p w14:paraId="65C1DC17" w14:textId="77777777" w:rsidR="00207CBB" w:rsidRDefault="00207CBB">
      <w:pPr>
        <w:pStyle w:val="BodyText"/>
      </w:pPr>
    </w:p>
    <w:p w14:paraId="59253E6A" w14:textId="77777777" w:rsidR="00207CBB" w:rsidRDefault="007729F9">
      <w:pPr>
        <w:pStyle w:val="BodyText"/>
        <w:ind w:left="230" w:right="356"/>
      </w:pPr>
      <w:r>
        <w:t>Adviser uses the pricing provided by the custodian of their clients’ accounts and does no valuation of its own. Should the client have questions regarding valuation, they can contact the Adviser at (317) 843-1358.</w:t>
      </w:r>
    </w:p>
    <w:p w14:paraId="04D83D1B" w14:textId="77777777" w:rsidR="00207CBB" w:rsidRDefault="00207CBB">
      <w:pPr>
        <w:pStyle w:val="BodyText"/>
        <w:spacing w:before="11"/>
        <w:rPr>
          <w:sz w:val="23"/>
        </w:rPr>
      </w:pPr>
    </w:p>
    <w:p w14:paraId="76ACEB0E" w14:textId="77777777" w:rsidR="00207CBB" w:rsidRDefault="007729F9">
      <w:pPr>
        <w:pStyle w:val="BodyText"/>
        <w:ind w:firstLine="230"/>
        <w:rPr>
          <w:b/>
          <w:u w:val="single"/>
        </w:rPr>
      </w:pPr>
      <w:r>
        <w:rPr>
          <w:b/>
          <w:u w:val="single"/>
        </w:rPr>
        <w:t>Privacy Policy</w:t>
      </w:r>
    </w:p>
    <w:p w14:paraId="62C26568" w14:textId="77777777" w:rsidR="00207CBB" w:rsidRDefault="00207CBB">
      <w:pPr>
        <w:pStyle w:val="BodyText"/>
        <w:ind w:left="234" w:right="355"/>
      </w:pPr>
    </w:p>
    <w:p w14:paraId="56B92138" w14:textId="77777777" w:rsidR="00207CBB" w:rsidRDefault="007729F9">
      <w:pPr>
        <w:pStyle w:val="BodyText"/>
        <w:ind w:left="234" w:right="355"/>
      </w:pPr>
      <w:r>
        <w:t>Adviser makes every effort to maintain complete confidentiality of all client matters and prospective client matters. All personal and financial information received from the client for the purpose of providing financial planning or investment management is held in strict confidence. Adviser will not provide any client information to a third party unless given permission buy the client, or as required by law.</w:t>
      </w:r>
    </w:p>
    <w:p w14:paraId="173C4467" w14:textId="77777777" w:rsidR="00207CBB" w:rsidRDefault="00207CBB">
      <w:pPr>
        <w:pStyle w:val="BodyText"/>
        <w:rPr>
          <w:rFonts w:ascii="Times New Roman"/>
        </w:rPr>
      </w:pPr>
    </w:p>
    <w:sectPr w:rsidR="00207CBB">
      <w:type w:val="continuous"/>
      <w:pgSz w:w="12240" w:h="15840"/>
      <w:pgMar w:top="1500" w:right="1080" w:bottom="960" w:left="122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3C02C" w14:textId="77777777" w:rsidR="00207CBB" w:rsidRDefault="007729F9">
      <w:r>
        <w:separator/>
      </w:r>
    </w:p>
  </w:endnote>
  <w:endnote w:type="continuationSeparator" w:id="0">
    <w:p w14:paraId="1C7EA4D8" w14:textId="77777777" w:rsidR="00207CBB" w:rsidRDefault="007729F9">
      <w:r>
        <w:continuationSeparator/>
      </w:r>
    </w:p>
  </w:endnote>
  <w:endnote w:type="continuationNotice" w:id="1">
    <w:p w14:paraId="67DACC97" w14:textId="77777777" w:rsidR="00207CBB" w:rsidRDefault="00207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621250"/>
      <w:docPartObj>
        <w:docPartGallery w:val="Page Numbers (Bottom of Page)"/>
        <w:docPartUnique/>
      </w:docPartObj>
    </w:sdtPr>
    <w:sdtEndPr>
      <w:rPr>
        <w:noProof/>
      </w:rPr>
    </w:sdtEndPr>
    <w:sdtContent>
      <w:p w14:paraId="04D48216" w14:textId="77777777" w:rsidR="00207CBB" w:rsidRDefault="007729F9">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678F406F" w14:textId="77777777" w:rsidR="00207CBB" w:rsidRDefault="00207CBB">
    <w:pPr>
      <w:pStyle w:val="BodyText"/>
      <w:spacing w:line="14" w:lineRule="auto"/>
      <w:jc w:val="right"/>
      <w:rPr>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BBED" w14:textId="77777777" w:rsidR="00207CBB" w:rsidRDefault="00207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96903" w14:textId="77777777" w:rsidR="00207CBB" w:rsidRDefault="007729F9">
      <w:r>
        <w:separator/>
      </w:r>
    </w:p>
  </w:footnote>
  <w:footnote w:type="continuationSeparator" w:id="0">
    <w:p w14:paraId="072C9ECF" w14:textId="77777777" w:rsidR="00207CBB" w:rsidRDefault="007729F9">
      <w:r>
        <w:continuationSeparator/>
      </w:r>
    </w:p>
  </w:footnote>
  <w:footnote w:type="continuationNotice" w:id="1">
    <w:p w14:paraId="698B6119" w14:textId="77777777" w:rsidR="00207CBB" w:rsidRDefault="00207C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99F"/>
    <w:multiLevelType w:val="hybridMultilevel"/>
    <w:tmpl w:val="F81A9EB0"/>
    <w:lvl w:ilvl="0" w:tplc="04090015">
      <w:start w:val="1"/>
      <w:numFmt w:val="upperLetter"/>
      <w:lvlText w:val="%1."/>
      <w:lvlJc w:val="left"/>
      <w:pPr>
        <w:ind w:left="954" w:hanging="360"/>
      </w:pPr>
    </w:lvl>
    <w:lvl w:ilvl="1" w:tplc="04090019">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1" w15:restartNumberingAfterBreak="0">
    <w:nsid w:val="0377155D"/>
    <w:multiLevelType w:val="hybridMultilevel"/>
    <w:tmpl w:val="80860C6E"/>
    <w:lvl w:ilvl="0" w:tplc="2D404C86">
      <w:numFmt w:val="bullet"/>
      <w:lvlText w:val=""/>
      <w:lvlJc w:val="left"/>
      <w:pPr>
        <w:ind w:left="840" w:hanging="361"/>
      </w:pPr>
      <w:rPr>
        <w:rFonts w:ascii="Symbol" w:eastAsia="Symbol" w:hAnsi="Symbol" w:cs="Symbol" w:hint="default"/>
        <w:w w:val="100"/>
        <w:sz w:val="22"/>
        <w:szCs w:val="22"/>
        <w:lang w:val="en-US" w:eastAsia="en-US" w:bidi="en-US"/>
      </w:rPr>
    </w:lvl>
    <w:lvl w:ilvl="1" w:tplc="26840C92">
      <w:numFmt w:val="bullet"/>
      <w:lvlText w:val="•"/>
      <w:lvlJc w:val="left"/>
      <w:pPr>
        <w:ind w:left="1750" w:hanging="361"/>
      </w:pPr>
      <w:rPr>
        <w:rFonts w:hint="default"/>
        <w:lang w:val="en-US" w:eastAsia="en-US" w:bidi="en-US"/>
      </w:rPr>
    </w:lvl>
    <w:lvl w:ilvl="2" w:tplc="98DCBBF0">
      <w:numFmt w:val="bullet"/>
      <w:lvlText w:val="•"/>
      <w:lvlJc w:val="left"/>
      <w:pPr>
        <w:ind w:left="2660" w:hanging="361"/>
      </w:pPr>
      <w:rPr>
        <w:rFonts w:hint="default"/>
        <w:lang w:val="en-US" w:eastAsia="en-US" w:bidi="en-US"/>
      </w:rPr>
    </w:lvl>
    <w:lvl w:ilvl="3" w:tplc="81EA6B8C">
      <w:numFmt w:val="bullet"/>
      <w:lvlText w:val="•"/>
      <w:lvlJc w:val="left"/>
      <w:pPr>
        <w:ind w:left="3570" w:hanging="361"/>
      </w:pPr>
      <w:rPr>
        <w:rFonts w:hint="default"/>
        <w:lang w:val="en-US" w:eastAsia="en-US" w:bidi="en-US"/>
      </w:rPr>
    </w:lvl>
    <w:lvl w:ilvl="4" w:tplc="4A2AAA7E">
      <w:numFmt w:val="bullet"/>
      <w:lvlText w:val="•"/>
      <w:lvlJc w:val="left"/>
      <w:pPr>
        <w:ind w:left="4480" w:hanging="361"/>
      </w:pPr>
      <w:rPr>
        <w:rFonts w:hint="default"/>
        <w:lang w:val="en-US" w:eastAsia="en-US" w:bidi="en-US"/>
      </w:rPr>
    </w:lvl>
    <w:lvl w:ilvl="5" w:tplc="546E5FC2">
      <w:numFmt w:val="bullet"/>
      <w:lvlText w:val="•"/>
      <w:lvlJc w:val="left"/>
      <w:pPr>
        <w:ind w:left="5390" w:hanging="361"/>
      </w:pPr>
      <w:rPr>
        <w:rFonts w:hint="default"/>
        <w:lang w:val="en-US" w:eastAsia="en-US" w:bidi="en-US"/>
      </w:rPr>
    </w:lvl>
    <w:lvl w:ilvl="6" w:tplc="173E2092">
      <w:numFmt w:val="bullet"/>
      <w:lvlText w:val="•"/>
      <w:lvlJc w:val="left"/>
      <w:pPr>
        <w:ind w:left="6300" w:hanging="361"/>
      </w:pPr>
      <w:rPr>
        <w:rFonts w:hint="default"/>
        <w:lang w:val="en-US" w:eastAsia="en-US" w:bidi="en-US"/>
      </w:rPr>
    </w:lvl>
    <w:lvl w:ilvl="7" w:tplc="E11EC90E">
      <w:numFmt w:val="bullet"/>
      <w:lvlText w:val="•"/>
      <w:lvlJc w:val="left"/>
      <w:pPr>
        <w:ind w:left="7210" w:hanging="361"/>
      </w:pPr>
      <w:rPr>
        <w:rFonts w:hint="default"/>
        <w:lang w:val="en-US" w:eastAsia="en-US" w:bidi="en-US"/>
      </w:rPr>
    </w:lvl>
    <w:lvl w:ilvl="8" w:tplc="BE2C4DF0">
      <w:numFmt w:val="bullet"/>
      <w:lvlText w:val="•"/>
      <w:lvlJc w:val="left"/>
      <w:pPr>
        <w:ind w:left="8120" w:hanging="361"/>
      </w:pPr>
      <w:rPr>
        <w:rFonts w:hint="default"/>
        <w:lang w:val="en-US" w:eastAsia="en-US" w:bidi="en-US"/>
      </w:rPr>
    </w:lvl>
  </w:abstractNum>
  <w:abstractNum w:abstractNumId="2" w15:restartNumberingAfterBreak="0">
    <w:nsid w:val="0DA11201"/>
    <w:multiLevelType w:val="hybridMultilevel"/>
    <w:tmpl w:val="7FEA9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2C3456"/>
    <w:multiLevelType w:val="hybridMultilevel"/>
    <w:tmpl w:val="0340FD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754B4"/>
    <w:multiLevelType w:val="hybridMultilevel"/>
    <w:tmpl w:val="8B606ECE"/>
    <w:lvl w:ilvl="0" w:tplc="04090015">
      <w:start w:val="1"/>
      <w:numFmt w:val="upperLetter"/>
      <w:lvlText w:val="%1."/>
      <w:lvlJc w:val="left"/>
      <w:pPr>
        <w:ind w:left="954" w:hanging="360"/>
      </w:p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5" w15:restartNumberingAfterBreak="0">
    <w:nsid w:val="18BD414E"/>
    <w:multiLevelType w:val="hybridMultilevel"/>
    <w:tmpl w:val="0B04116E"/>
    <w:lvl w:ilvl="0" w:tplc="72823E7A">
      <w:numFmt w:val="bullet"/>
      <w:lvlText w:val="•"/>
      <w:lvlJc w:val="left"/>
      <w:pPr>
        <w:ind w:left="722" w:hanging="492"/>
      </w:pPr>
      <w:rPr>
        <w:rFonts w:ascii="Cambria Math" w:eastAsia="Cambria Math" w:hAnsi="Cambria Math" w:cs="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B1A32"/>
    <w:multiLevelType w:val="hybridMultilevel"/>
    <w:tmpl w:val="70E0BBAE"/>
    <w:lvl w:ilvl="0" w:tplc="8D240EE8">
      <w:numFmt w:val="bullet"/>
      <w:lvlText w:val=""/>
      <w:lvlJc w:val="left"/>
      <w:pPr>
        <w:ind w:left="955" w:hanging="361"/>
      </w:pPr>
      <w:rPr>
        <w:rFonts w:ascii="Symbol" w:eastAsia="Symbol" w:hAnsi="Symbol" w:cs="Symbol" w:hint="default"/>
        <w:w w:val="100"/>
        <w:sz w:val="24"/>
        <w:szCs w:val="24"/>
        <w:lang w:val="en-US" w:eastAsia="en-US" w:bidi="en-US"/>
      </w:rPr>
    </w:lvl>
    <w:lvl w:ilvl="1" w:tplc="14F453DE">
      <w:numFmt w:val="bullet"/>
      <w:lvlText w:val="•"/>
      <w:lvlJc w:val="left"/>
      <w:pPr>
        <w:ind w:left="1858" w:hanging="361"/>
      </w:pPr>
      <w:rPr>
        <w:rFonts w:hint="default"/>
        <w:lang w:val="en-US" w:eastAsia="en-US" w:bidi="en-US"/>
      </w:rPr>
    </w:lvl>
    <w:lvl w:ilvl="2" w:tplc="D2803104">
      <w:numFmt w:val="bullet"/>
      <w:lvlText w:val="•"/>
      <w:lvlJc w:val="left"/>
      <w:pPr>
        <w:ind w:left="2756" w:hanging="361"/>
      </w:pPr>
      <w:rPr>
        <w:rFonts w:hint="default"/>
        <w:lang w:val="en-US" w:eastAsia="en-US" w:bidi="en-US"/>
      </w:rPr>
    </w:lvl>
    <w:lvl w:ilvl="3" w:tplc="CA1287F0">
      <w:numFmt w:val="bullet"/>
      <w:lvlText w:val="•"/>
      <w:lvlJc w:val="left"/>
      <w:pPr>
        <w:ind w:left="3654" w:hanging="361"/>
      </w:pPr>
      <w:rPr>
        <w:rFonts w:hint="default"/>
        <w:lang w:val="en-US" w:eastAsia="en-US" w:bidi="en-US"/>
      </w:rPr>
    </w:lvl>
    <w:lvl w:ilvl="4" w:tplc="A84E3612">
      <w:numFmt w:val="bullet"/>
      <w:lvlText w:val="•"/>
      <w:lvlJc w:val="left"/>
      <w:pPr>
        <w:ind w:left="4552" w:hanging="361"/>
      </w:pPr>
      <w:rPr>
        <w:rFonts w:hint="default"/>
        <w:lang w:val="en-US" w:eastAsia="en-US" w:bidi="en-US"/>
      </w:rPr>
    </w:lvl>
    <w:lvl w:ilvl="5" w:tplc="9E14F63A">
      <w:numFmt w:val="bullet"/>
      <w:lvlText w:val="•"/>
      <w:lvlJc w:val="left"/>
      <w:pPr>
        <w:ind w:left="5450" w:hanging="361"/>
      </w:pPr>
      <w:rPr>
        <w:rFonts w:hint="default"/>
        <w:lang w:val="en-US" w:eastAsia="en-US" w:bidi="en-US"/>
      </w:rPr>
    </w:lvl>
    <w:lvl w:ilvl="6" w:tplc="DB5E474E">
      <w:numFmt w:val="bullet"/>
      <w:lvlText w:val="•"/>
      <w:lvlJc w:val="left"/>
      <w:pPr>
        <w:ind w:left="6348" w:hanging="361"/>
      </w:pPr>
      <w:rPr>
        <w:rFonts w:hint="default"/>
        <w:lang w:val="en-US" w:eastAsia="en-US" w:bidi="en-US"/>
      </w:rPr>
    </w:lvl>
    <w:lvl w:ilvl="7" w:tplc="01D0E9EA">
      <w:numFmt w:val="bullet"/>
      <w:lvlText w:val="•"/>
      <w:lvlJc w:val="left"/>
      <w:pPr>
        <w:ind w:left="7246" w:hanging="361"/>
      </w:pPr>
      <w:rPr>
        <w:rFonts w:hint="default"/>
        <w:lang w:val="en-US" w:eastAsia="en-US" w:bidi="en-US"/>
      </w:rPr>
    </w:lvl>
    <w:lvl w:ilvl="8" w:tplc="4080DC8C">
      <w:numFmt w:val="bullet"/>
      <w:lvlText w:val="•"/>
      <w:lvlJc w:val="left"/>
      <w:pPr>
        <w:ind w:left="8144" w:hanging="361"/>
      </w:pPr>
      <w:rPr>
        <w:rFonts w:hint="default"/>
        <w:lang w:val="en-US" w:eastAsia="en-US" w:bidi="en-US"/>
      </w:rPr>
    </w:lvl>
  </w:abstractNum>
  <w:abstractNum w:abstractNumId="7" w15:restartNumberingAfterBreak="0">
    <w:nsid w:val="2A1658C0"/>
    <w:multiLevelType w:val="hybridMultilevel"/>
    <w:tmpl w:val="260C251E"/>
    <w:lvl w:ilvl="0" w:tplc="72823E7A">
      <w:numFmt w:val="bullet"/>
      <w:lvlText w:val="•"/>
      <w:lvlJc w:val="left"/>
      <w:pPr>
        <w:ind w:left="722" w:hanging="492"/>
      </w:pPr>
      <w:rPr>
        <w:rFonts w:ascii="Cambria Math" w:eastAsia="Cambria Math" w:hAnsi="Cambria Math" w:cs="Cambria Math" w:hint="default"/>
      </w:rPr>
    </w:lvl>
    <w:lvl w:ilvl="1" w:tplc="04090003">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8" w15:restartNumberingAfterBreak="0">
    <w:nsid w:val="2F0E66C9"/>
    <w:multiLevelType w:val="hybridMultilevel"/>
    <w:tmpl w:val="136437D4"/>
    <w:lvl w:ilvl="0" w:tplc="22D21C4C">
      <w:numFmt w:val="bullet"/>
      <w:lvlText w:val="•"/>
      <w:lvlJc w:val="left"/>
      <w:pPr>
        <w:ind w:left="119" w:hanging="135"/>
      </w:pPr>
      <w:rPr>
        <w:rFonts w:ascii="Times New Roman" w:eastAsia="Times New Roman" w:hAnsi="Times New Roman" w:cs="Times New Roman" w:hint="default"/>
        <w:w w:val="100"/>
        <w:sz w:val="22"/>
        <w:szCs w:val="22"/>
        <w:lang w:val="en-US" w:eastAsia="en-US" w:bidi="en-US"/>
      </w:rPr>
    </w:lvl>
    <w:lvl w:ilvl="1" w:tplc="D0D079FC">
      <w:numFmt w:val="bullet"/>
      <w:lvlText w:val="•"/>
      <w:lvlJc w:val="left"/>
      <w:pPr>
        <w:ind w:left="1102" w:hanging="135"/>
      </w:pPr>
      <w:rPr>
        <w:rFonts w:hint="default"/>
        <w:lang w:val="en-US" w:eastAsia="en-US" w:bidi="en-US"/>
      </w:rPr>
    </w:lvl>
    <w:lvl w:ilvl="2" w:tplc="2AA2DB6C">
      <w:numFmt w:val="bullet"/>
      <w:lvlText w:val="•"/>
      <w:lvlJc w:val="left"/>
      <w:pPr>
        <w:ind w:left="2084" w:hanging="135"/>
      </w:pPr>
      <w:rPr>
        <w:rFonts w:hint="default"/>
        <w:lang w:val="en-US" w:eastAsia="en-US" w:bidi="en-US"/>
      </w:rPr>
    </w:lvl>
    <w:lvl w:ilvl="3" w:tplc="6026E766">
      <w:numFmt w:val="bullet"/>
      <w:lvlText w:val="•"/>
      <w:lvlJc w:val="left"/>
      <w:pPr>
        <w:ind w:left="3066" w:hanging="135"/>
      </w:pPr>
      <w:rPr>
        <w:rFonts w:hint="default"/>
        <w:lang w:val="en-US" w:eastAsia="en-US" w:bidi="en-US"/>
      </w:rPr>
    </w:lvl>
    <w:lvl w:ilvl="4" w:tplc="E09AF3C8">
      <w:numFmt w:val="bullet"/>
      <w:lvlText w:val="•"/>
      <w:lvlJc w:val="left"/>
      <w:pPr>
        <w:ind w:left="4048" w:hanging="135"/>
      </w:pPr>
      <w:rPr>
        <w:rFonts w:hint="default"/>
        <w:lang w:val="en-US" w:eastAsia="en-US" w:bidi="en-US"/>
      </w:rPr>
    </w:lvl>
    <w:lvl w:ilvl="5" w:tplc="D6C6121A">
      <w:numFmt w:val="bullet"/>
      <w:lvlText w:val="•"/>
      <w:lvlJc w:val="left"/>
      <w:pPr>
        <w:ind w:left="5030" w:hanging="135"/>
      </w:pPr>
      <w:rPr>
        <w:rFonts w:hint="default"/>
        <w:lang w:val="en-US" w:eastAsia="en-US" w:bidi="en-US"/>
      </w:rPr>
    </w:lvl>
    <w:lvl w:ilvl="6" w:tplc="B0122E78">
      <w:numFmt w:val="bullet"/>
      <w:lvlText w:val="•"/>
      <w:lvlJc w:val="left"/>
      <w:pPr>
        <w:ind w:left="6012" w:hanging="135"/>
      </w:pPr>
      <w:rPr>
        <w:rFonts w:hint="default"/>
        <w:lang w:val="en-US" w:eastAsia="en-US" w:bidi="en-US"/>
      </w:rPr>
    </w:lvl>
    <w:lvl w:ilvl="7" w:tplc="FC200050">
      <w:numFmt w:val="bullet"/>
      <w:lvlText w:val="•"/>
      <w:lvlJc w:val="left"/>
      <w:pPr>
        <w:ind w:left="6994" w:hanging="135"/>
      </w:pPr>
      <w:rPr>
        <w:rFonts w:hint="default"/>
        <w:lang w:val="en-US" w:eastAsia="en-US" w:bidi="en-US"/>
      </w:rPr>
    </w:lvl>
    <w:lvl w:ilvl="8" w:tplc="711A6F36">
      <w:numFmt w:val="bullet"/>
      <w:lvlText w:val="•"/>
      <w:lvlJc w:val="left"/>
      <w:pPr>
        <w:ind w:left="7976" w:hanging="135"/>
      </w:pPr>
      <w:rPr>
        <w:rFonts w:hint="default"/>
        <w:lang w:val="en-US" w:eastAsia="en-US" w:bidi="en-US"/>
      </w:rPr>
    </w:lvl>
  </w:abstractNum>
  <w:abstractNum w:abstractNumId="9" w15:restartNumberingAfterBreak="0">
    <w:nsid w:val="3A3D7C8D"/>
    <w:multiLevelType w:val="hybridMultilevel"/>
    <w:tmpl w:val="0F44EA9E"/>
    <w:lvl w:ilvl="0" w:tplc="39303A54">
      <w:numFmt w:val="bullet"/>
      <w:lvlText w:val=""/>
      <w:lvlJc w:val="left"/>
      <w:pPr>
        <w:ind w:left="840" w:hanging="361"/>
      </w:pPr>
      <w:rPr>
        <w:rFonts w:ascii="Wingdings" w:eastAsia="Wingdings" w:hAnsi="Wingdings" w:cs="Wingdings" w:hint="default"/>
        <w:w w:val="100"/>
        <w:sz w:val="22"/>
        <w:szCs w:val="22"/>
        <w:lang w:val="en-US" w:eastAsia="en-US" w:bidi="en-US"/>
      </w:rPr>
    </w:lvl>
    <w:lvl w:ilvl="1" w:tplc="14D0D954">
      <w:numFmt w:val="bullet"/>
      <w:lvlText w:val="•"/>
      <w:lvlJc w:val="left"/>
      <w:pPr>
        <w:ind w:left="1750" w:hanging="361"/>
      </w:pPr>
      <w:rPr>
        <w:rFonts w:hint="default"/>
        <w:lang w:val="en-US" w:eastAsia="en-US" w:bidi="en-US"/>
      </w:rPr>
    </w:lvl>
    <w:lvl w:ilvl="2" w:tplc="08E22514">
      <w:numFmt w:val="bullet"/>
      <w:lvlText w:val="•"/>
      <w:lvlJc w:val="left"/>
      <w:pPr>
        <w:ind w:left="2660" w:hanging="361"/>
      </w:pPr>
      <w:rPr>
        <w:rFonts w:hint="default"/>
        <w:lang w:val="en-US" w:eastAsia="en-US" w:bidi="en-US"/>
      </w:rPr>
    </w:lvl>
    <w:lvl w:ilvl="3" w:tplc="C226DB24">
      <w:numFmt w:val="bullet"/>
      <w:lvlText w:val="•"/>
      <w:lvlJc w:val="left"/>
      <w:pPr>
        <w:ind w:left="3570" w:hanging="361"/>
      </w:pPr>
      <w:rPr>
        <w:rFonts w:hint="default"/>
        <w:lang w:val="en-US" w:eastAsia="en-US" w:bidi="en-US"/>
      </w:rPr>
    </w:lvl>
    <w:lvl w:ilvl="4" w:tplc="6D04AAD4">
      <w:numFmt w:val="bullet"/>
      <w:lvlText w:val="•"/>
      <w:lvlJc w:val="left"/>
      <w:pPr>
        <w:ind w:left="4480" w:hanging="361"/>
      </w:pPr>
      <w:rPr>
        <w:rFonts w:hint="default"/>
        <w:lang w:val="en-US" w:eastAsia="en-US" w:bidi="en-US"/>
      </w:rPr>
    </w:lvl>
    <w:lvl w:ilvl="5" w:tplc="38660E7E">
      <w:numFmt w:val="bullet"/>
      <w:lvlText w:val="•"/>
      <w:lvlJc w:val="left"/>
      <w:pPr>
        <w:ind w:left="5390" w:hanging="361"/>
      </w:pPr>
      <w:rPr>
        <w:rFonts w:hint="default"/>
        <w:lang w:val="en-US" w:eastAsia="en-US" w:bidi="en-US"/>
      </w:rPr>
    </w:lvl>
    <w:lvl w:ilvl="6" w:tplc="43E2C2E0">
      <w:numFmt w:val="bullet"/>
      <w:lvlText w:val="•"/>
      <w:lvlJc w:val="left"/>
      <w:pPr>
        <w:ind w:left="6300" w:hanging="361"/>
      </w:pPr>
      <w:rPr>
        <w:rFonts w:hint="default"/>
        <w:lang w:val="en-US" w:eastAsia="en-US" w:bidi="en-US"/>
      </w:rPr>
    </w:lvl>
    <w:lvl w:ilvl="7" w:tplc="ABDCA16C">
      <w:numFmt w:val="bullet"/>
      <w:lvlText w:val="•"/>
      <w:lvlJc w:val="left"/>
      <w:pPr>
        <w:ind w:left="7210" w:hanging="361"/>
      </w:pPr>
      <w:rPr>
        <w:rFonts w:hint="default"/>
        <w:lang w:val="en-US" w:eastAsia="en-US" w:bidi="en-US"/>
      </w:rPr>
    </w:lvl>
    <w:lvl w:ilvl="8" w:tplc="526A28BE">
      <w:numFmt w:val="bullet"/>
      <w:lvlText w:val="•"/>
      <w:lvlJc w:val="left"/>
      <w:pPr>
        <w:ind w:left="8120" w:hanging="361"/>
      </w:pPr>
      <w:rPr>
        <w:rFonts w:hint="default"/>
        <w:lang w:val="en-US" w:eastAsia="en-US" w:bidi="en-US"/>
      </w:rPr>
    </w:lvl>
  </w:abstractNum>
  <w:abstractNum w:abstractNumId="10" w15:restartNumberingAfterBreak="0">
    <w:nsid w:val="3AB2780D"/>
    <w:multiLevelType w:val="hybridMultilevel"/>
    <w:tmpl w:val="9ABA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31B20"/>
    <w:multiLevelType w:val="hybridMultilevel"/>
    <w:tmpl w:val="8FD44AA0"/>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2" w15:restartNumberingAfterBreak="0">
    <w:nsid w:val="521A05D2"/>
    <w:multiLevelType w:val="multilevel"/>
    <w:tmpl w:val="07C2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E07F1"/>
    <w:multiLevelType w:val="hybridMultilevel"/>
    <w:tmpl w:val="D0D4F896"/>
    <w:lvl w:ilvl="0" w:tplc="04090001">
      <w:start w:val="1"/>
      <w:numFmt w:val="bullet"/>
      <w:lvlText w:val=""/>
      <w:lvlJc w:val="left"/>
      <w:pPr>
        <w:ind w:left="593" w:hanging="360"/>
      </w:pPr>
      <w:rPr>
        <w:rFonts w:ascii="Symbol" w:hAnsi="Symbol" w:hint="default"/>
      </w:rPr>
    </w:lvl>
    <w:lvl w:ilvl="1" w:tplc="04090003" w:tentative="1">
      <w:start w:val="1"/>
      <w:numFmt w:val="bullet"/>
      <w:lvlText w:val="o"/>
      <w:lvlJc w:val="left"/>
      <w:pPr>
        <w:ind w:left="1313" w:hanging="360"/>
      </w:pPr>
      <w:rPr>
        <w:rFonts w:ascii="Courier New" w:hAnsi="Courier New" w:cs="Courier New" w:hint="default"/>
      </w:rPr>
    </w:lvl>
    <w:lvl w:ilvl="2" w:tplc="04090005" w:tentative="1">
      <w:start w:val="1"/>
      <w:numFmt w:val="bullet"/>
      <w:lvlText w:val=""/>
      <w:lvlJc w:val="left"/>
      <w:pPr>
        <w:ind w:left="2033" w:hanging="360"/>
      </w:pPr>
      <w:rPr>
        <w:rFonts w:ascii="Wingdings" w:hAnsi="Wingdings" w:hint="default"/>
      </w:rPr>
    </w:lvl>
    <w:lvl w:ilvl="3" w:tplc="04090001" w:tentative="1">
      <w:start w:val="1"/>
      <w:numFmt w:val="bullet"/>
      <w:lvlText w:val=""/>
      <w:lvlJc w:val="left"/>
      <w:pPr>
        <w:ind w:left="2753" w:hanging="360"/>
      </w:pPr>
      <w:rPr>
        <w:rFonts w:ascii="Symbol" w:hAnsi="Symbol" w:hint="default"/>
      </w:rPr>
    </w:lvl>
    <w:lvl w:ilvl="4" w:tplc="04090003" w:tentative="1">
      <w:start w:val="1"/>
      <w:numFmt w:val="bullet"/>
      <w:lvlText w:val="o"/>
      <w:lvlJc w:val="left"/>
      <w:pPr>
        <w:ind w:left="3473" w:hanging="360"/>
      </w:pPr>
      <w:rPr>
        <w:rFonts w:ascii="Courier New" w:hAnsi="Courier New" w:cs="Courier New" w:hint="default"/>
      </w:rPr>
    </w:lvl>
    <w:lvl w:ilvl="5" w:tplc="04090005" w:tentative="1">
      <w:start w:val="1"/>
      <w:numFmt w:val="bullet"/>
      <w:lvlText w:val=""/>
      <w:lvlJc w:val="left"/>
      <w:pPr>
        <w:ind w:left="4193" w:hanging="360"/>
      </w:pPr>
      <w:rPr>
        <w:rFonts w:ascii="Wingdings" w:hAnsi="Wingdings" w:hint="default"/>
      </w:rPr>
    </w:lvl>
    <w:lvl w:ilvl="6" w:tplc="04090001" w:tentative="1">
      <w:start w:val="1"/>
      <w:numFmt w:val="bullet"/>
      <w:lvlText w:val=""/>
      <w:lvlJc w:val="left"/>
      <w:pPr>
        <w:ind w:left="4913" w:hanging="360"/>
      </w:pPr>
      <w:rPr>
        <w:rFonts w:ascii="Symbol" w:hAnsi="Symbol" w:hint="default"/>
      </w:rPr>
    </w:lvl>
    <w:lvl w:ilvl="7" w:tplc="04090003" w:tentative="1">
      <w:start w:val="1"/>
      <w:numFmt w:val="bullet"/>
      <w:lvlText w:val="o"/>
      <w:lvlJc w:val="left"/>
      <w:pPr>
        <w:ind w:left="5633" w:hanging="360"/>
      </w:pPr>
      <w:rPr>
        <w:rFonts w:ascii="Courier New" w:hAnsi="Courier New" w:cs="Courier New" w:hint="default"/>
      </w:rPr>
    </w:lvl>
    <w:lvl w:ilvl="8" w:tplc="04090005" w:tentative="1">
      <w:start w:val="1"/>
      <w:numFmt w:val="bullet"/>
      <w:lvlText w:val=""/>
      <w:lvlJc w:val="left"/>
      <w:pPr>
        <w:ind w:left="6353" w:hanging="360"/>
      </w:pPr>
      <w:rPr>
        <w:rFonts w:ascii="Wingdings" w:hAnsi="Wingdings" w:hint="default"/>
      </w:rPr>
    </w:lvl>
  </w:abstractNum>
  <w:abstractNum w:abstractNumId="14" w15:restartNumberingAfterBreak="0">
    <w:nsid w:val="7ECE0619"/>
    <w:multiLevelType w:val="hybridMultilevel"/>
    <w:tmpl w:val="39BE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608677">
    <w:abstractNumId w:val="8"/>
  </w:num>
  <w:num w:numId="2" w16cid:durableId="1756659212">
    <w:abstractNumId w:val="1"/>
  </w:num>
  <w:num w:numId="3" w16cid:durableId="1943492217">
    <w:abstractNumId w:val="9"/>
  </w:num>
  <w:num w:numId="4" w16cid:durableId="2041659812">
    <w:abstractNumId w:val="6"/>
  </w:num>
  <w:num w:numId="5" w16cid:durableId="2129623877">
    <w:abstractNumId w:val="0"/>
  </w:num>
  <w:num w:numId="6" w16cid:durableId="1385564521">
    <w:abstractNumId w:val="3"/>
  </w:num>
  <w:num w:numId="7" w16cid:durableId="1882016458">
    <w:abstractNumId w:val="4"/>
  </w:num>
  <w:num w:numId="8" w16cid:durableId="1372655238">
    <w:abstractNumId w:val="13"/>
  </w:num>
  <w:num w:numId="9" w16cid:durableId="2063097267">
    <w:abstractNumId w:val="11"/>
  </w:num>
  <w:num w:numId="10" w16cid:durableId="276955252">
    <w:abstractNumId w:val="7"/>
  </w:num>
  <w:num w:numId="11" w16cid:durableId="2108115905">
    <w:abstractNumId w:val="5"/>
  </w:num>
  <w:num w:numId="12" w16cid:durableId="1197815965">
    <w:abstractNumId w:val="10"/>
  </w:num>
  <w:num w:numId="13" w16cid:durableId="1557859480">
    <w:abstractNumId w:val="2"/>
  </w:num>
  <w:num w:numId="14" w16cid:durableId="28386304">
    <w:abstractNumId w:val="12"/>
  </w:num>
  <w:num w:numId="15" w16cid:durableId="909460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BB"/>
    <w:rsid w:val="000F39BD"/>
    <w:rsid w:val="0018164A"/>
    <w:rsid w:val="001916DC"/>
    <w:rsid w:val="001B046E"/>
    <w:rsid w:val="00207CBB"/>
    <w:rsid w:val="00326EEE"/>
    <w:rsid w:val="00347195"/>
    <w:rsid w:val="0043354F"/>
    <w:rsid w:val="005066EF"/>
    <w:rsid w:val="0065174E"/>
    <w:rsid w:val="00726579"/>
    <w:rsid w:val="007729F9"/>
    <w:rsid w:val="008C52F4"/>
    <w:rsid w:val="00B679B0"/>
    <w:rsid w:val="00BB5892"/>
    <w:rsid w:val="00E413B6"/>
    <w:rsid w:val="00EE3BE7"/>
    <w:rsid w:val="00F7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EC409E"/>
  <w15:docId w15:val="{6B000618-EBC8-49CD-980A-FA3A2107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Math" w:eastAsia="Cambria Math" w:hAnsi="Cambria Math" w:cs="Cambria Math"/>
      <w:lang w:bidi="en-US"/>
    </w:rPr>
  </w:style>
  <w:style w:type="paragraph" w:styleId="Heading1">
    <w:name w:val="heading 1"/>
    <w:basedOn w:val="Normal"/>
    <w:uiPriority w:val="1"/>
    <w:qFormat/>
    <w:pPr>
      <w:spacing w:before="13"/>
      <w:ind w:left="2070" w:right="2181"/>
      <w:jc w:val="center"/>
      <w:outlineLvl w:val="0"/>
    </w:pPr>
    <w:rPr>
      <w:rFonts w:eastAsia="Calibri" w:cs="Calibri"/>
      <w:b/>
      <w:bCs/>
      <w:sz w:val="28"/>
      <w:szCs w:val="44"/>
      <w:u w:val="single"/>
    </w:rPr>
  </w:style>
  <w:style w:type="paragraph" w:styleId="Heading2">
    <w:name w:val="heading 2"/>
    <w:basedOn w:val="Normal"/>
    <w:uiPriority w:val="1"/>
    <w:qFormat/>
    <w:pPr>
      <w:ind w:left="230"/>
      <w:jc w:val="both"/>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
      <w:ind w:left="230"/>
    </w:pPr>
    <w:rPr>
      <w:rFonts w:ascii="Times New Roman" w:eastAsia="Times New Roman" w:hAnsi="Times New Roman" w:cs="Times New Roman"/>
      <w:b/>
      <w:b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40" w:hanging="361"/>
    </w:pPr>
    <w:rPr>
      <w:rFonts w:ascii="Times New Roman" w:eastAsia="Times New Roman" w:hAnsi="Times New Roman" w:cs="Times New Roman"/>
    </w:rPr>
  </w:style>
  <w:style w:type="paragraph" w:customStyle="1" w:styleId="TableParagraph">
    <w:name w:val="Table Paragraph"/>
    <w:basedOn w:val="Normal"/>
    <w:uiPriority w:val="1"/>
    <w:qFormat/>
    <w:pPr>
      <w:spacing w:before="2" w:line="280" w:lineRule="exact"/>
      <w:ind w:left="824" w:right="344"/>
      <w:jc w:val="center"/>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mbria Math" w:eastAsia="Cambria Math" w:hAnsi="Cambria Math" w:cs="Cambria Math"/>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mbria Math" w:eastAsia="Cambria Math" w:hAnsi="Cambria Math" w:cs="Cambria Math"/>
      <w:lang w:bidi="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mbria Math" w:eastAsia="Cambria Math" w:hAnsi="Cambria Math" w:cs="Cambria Math"/>
      <w:sz w:val="20"/>
      <w:szCs w:val="20"/>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mbria Math" w:eastAsia="Cambria Math" w:hAnsi="Cambria Math" w:cs="Cambria Math"/>
      <w:b/>
      <w:bCs/>
      <w:sz w:val="20"/>
      <w:szCs w:val="20"/>
      <w:lang w:bidi="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mbria Math" w:hAnsi="Segoe UI" w:cs="Segoe UI"/>
      <w:sz w:val="18"/>
      <w:szCs w:val="18"/>
      <w:lang w:bidi="en-US"/>
    </w:rPr>
  </w:style>
  <w:style w:type="paragraph" w:styleId="Revision">
    <w:name w:val="Revision"/>
    <w:hidden/>
    <w:uiPriority w:val="99"/>
    <w:semiHidden/>
    <w:pPr>
      <w:widowControl/>
      <w:autoSpaceDE/>
      <w:autoSpaceDN/>
    </w:pPr>
    <w:rPr>
      <w:rFonts w:ascii="Cambria Math" w:eastAsia="Cambria Math" w:hAnsi="Cambria Math" w:cs="Cambria Math"/>
      <w:lang w:bidi="en-US"/>
    </w:rPr>
  </w:style>
  <w:style w:type="character" w:styleId="LineNumber">
    <w:name w:val="line number"/>
    <w:basedOn w:val="DefaultParagraphFont"/>
    <w:uiPriority w:val="99"/>
    <w:semiHidden/>
    <w:unhideWhenUsed/>
  </w:style>
  <w:style w:type="character" w:styleId="PageNumber">
    <w:name w:val="page number"/>
    <w:basedOn w:val="DefaultParagraphFont"/>
    <w:uiPriority w:val="99"/>
    <w:unhideWhenUsed/>
    <w:rPr>
      <w:rFonts w:ascii="Cambria Math" w:hAnsi="Cambria Math"/>
      <w:color w:val="auto"/>
      <w:sz w:val="22"/>
    </w:rPr>
  </w:style>
  <w:style w:type="paragraph" w:styleId="NoSpacing">
    <w:name w:val="No Spacing"/>
    <w:uiPriority w:val="1"/>
    <w:qFormat/>
    <w:rPr>
      <w:rFonts w:ascii="Cambria Math" w:eastAsia="Cambria Math" w:hAnsi="Cambria Math" w:cs="Cambria Math"/>
      <w:lang w:bidi="en-US"/>
    </w:rPr>
  </w:style>
  <w:style w:type="character" w:customStyle="1" w:styleId="BodyTextChar">
    <w:name w:val="Body Text Char"/>
    <w:basedOn w:val="DefaultParagraphFont"/>
    <w:link w:val="BodyText"/>
    <w:uiPriority w:val="1"/>
    <w:rPr>
      <w:rFonts w:ascii="Cambria Math" w:eastAsia="Cambria Math" w:hAnsi="Cambria Math" w:cs="Cambria Math"/>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14209">
      <w:bodyDiv w:val="1"/>
      <w:marLeft w:val="0"/>
      <w:marRight w:val="0"/>
      <w:marTop w:val="0"/>
      <w:marBottom w:val="0"/>
      <w:divBdr>
        <w:top w:val="none" w:sz="0" w:space="0" w:color="auto"/>
        <w:left w:val="none" w:sz="0" w:space="0" w:color="auto"/>
        <w:bottom w:val="none" w:sz="0" w:space="0" w:color="auto"/>
        <w:right w:val="none" w:sz="0" w:space="0" w:color="auto"/>
      </w:divBdr>
    </w:div>
    <w:div w:id="1170098137">
      <w:bodyDiv w:val="1"/>
      <w:marLeft w:val="0"/>
      <w:marRight w:val="0"/>
      <w:marTop w:val="0"/>
      <w:marBottom w:val="0"/>
      <w:divBdr>
        <w:top w:val="none" w:sz="0" w:space="0" w:color="auto"/>
        <w:left w:val="none" w:sz="0" w:space="0" w:color="auto"/>
        <w:bottom w:val="none" w:sz="0" w:space="0" w:color="auto"/>
        <w:right w:val="none" w:sz="0" w:space="0" w:color="auto"/>
      </w:divBdr>
    </w:div>
    <w:div w:id="1197817210">
      <w:bodyDiv w:val="1"/>
      <w:marLeft w:val="0"/>
      <w:marRight w:val="0"/>
      <w:marTop w:val="0"/>
      <w:marBottom w:val="0"/>
      <w:divBdr>
        <w:top w:val="none" w:sz="0" w:space="0" w:color="auto"/>
        <w:left w:val="none" w:sz="0" w:space="0" w:color="auto"/>
        <w:bottom w:val="none" w:sz="0" w:space="0" w:color="auto"/>
        <w:right w:val="none" w:sz="0" w:space="0" w:color="auto"/>
      </w:divBdr>
    </w:div>
    <w:div w:id="1404261089">
      <w:bodyDiv w:val="1"/>
      <w:marLeft w:val="0"/>
      <w:marRight w:val="0"/>
      <w:marTop w:val="0"/>
      <w:marBottom w:val="0"/>
      <w:divBdr>
        <w:top w:val="none" w:sz="0" w:space="0" w:color="auto"/>
        <w:left w:val="none" w:sz="0" w:space="0" w:color="auto"/>
        <w:bottom w:val="none" w:sz="0" w:space="0" w:color="auto"/>
        <w:right w:val="none" w:sz="0" w:space="0" w:color="auto"/>
      </w:divBdr>
    </w:div>
    <w:div w:id="2098020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viserinfo.se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viserinfo.sec.gov" TargetMode="External"/><Relationship Id="rId4" Type="http://schemas.openxmlformats.org/officeDocument/2006/relationships/settings" Target="settings.xml"/><Relationship Id="rId9" Type="http://schemas.openxmlformats.org/officeDocument/2006/relationships/hyperlink" Target="http://www.bedelfinancia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E3AC6-92DD-45A2-B313-5B0B3E76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8415</Words>
  <Characters>39551</Characters>
  <Application>Microsoft Office Word</Application>
  <DocSecurity>0</DocSecurity>
  <Lines>2825</Lines>
  <Paragraphs>2284</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45682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Elfenbein, Lonny</dc:creator>
  <cp:lastModifiedBy>Elfenbein, Lonny</cp:lastModifiedBy>
  <cp:revision>2</cp:revision>
  <cp:lastPrinted>2023-06-28T16:21:00Z</cp:lastPrinted>
  <dcterms:created xsi:type="dcterms:W3CDTF">2025-06-23T16:55:00Z</dcterms:created>
  <dcterms:modified xsi:type="dcterms:W3CDTF">2025-06-23T16:55:00Z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LastSaved">
    <vt:filetime>2023-06-26T00:00:00Z</vt:filetime>
  </property>
  <property fmtid="{D5CDD505-2E9C-101B-9397-08002B2CF9AE}" pid="4" name="_NewReviewCycle">
    <vt:lpwstr/>
  </property>
</Properties>
</file>